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العمري
</w:t>
      </w:r>
    </w:p>
    <w:p>
      <w:pPr>
        <w:jc w:val="start"/>
        <w:bidi/>
      </w:pPr>
      <w:r>
        <w:rPr>
          <w:rFonts w:ascii="arial" w:hAnsi="arial" w:eastAsia="arial" w:cs="arial"/>
          <w:sz w:val="28"/>
          <w:szCs w:val="28"/>
          <w:b w:val="1"/>
          <w:bCs w:val="1"/>
          <w:rtl/>
        </w:rPr>
        <w:t xml:space="preserve">حسن العمري
</w:t>
      </w:r>
    </w:p>
    <w:p>
      <w:pPr/>
      <w:r>
        <w:rPr/>
        <w:t xml:space="preserve">حسن العمري  حسن العمري: سياسي عسكري من أهالي اليمن، أحد القادة في ثورة 26 سبتمبر (أيلول) 1962، برز في الميدان السياسي ببلاده بعد ثورة عام 1948 حين شارك بها واعتقل، عمل بعدئذ في وزارة المواصلات واختير وزيرا لها ولوزارة الدفاع وأسندت إليه رئاسة الحكومة مرات وشغل منصب نائب رئيس المجلس الجمهوري والقائد العام للقوات المسلحة، انتقل إلى القاهرة في مطلع السبعينات فاستقر بها مع عدد من السياسيين اليمنيين، توفي في بون.</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2026-10-11T08:27:00+03:00</dcterms:created>
  <dcterms:modified xsi:type="dcterms:W3CDTF">2026-10-11T08:27:00+03:00</dcterms:modified>
</cp:coreProperties>
</file>

<file path=docProps/custom.xml><?xml version="1.0" encoding="utf-8"?>
<Properties xmlns="http://schemas.openxmlformats.org/officeDocument/2006/custom-properties" xmlns:vt="http://schemas.openxmlformats.org/officeDocument/2006/docPropsVTypes"/>
</file>