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خالد
</w:t>
      </w:r>
    </w:p>
    <w:p>
      <w:pPr>
        <w:jc w:val="start"/>
        <w:bidi/>
      </w:pPr>
      <w:r>
        <w:rPr>
          <w:rFonts w:ascii="arial" w:hAnsi="arial" w:eastAsia="arial" w:cs="arial"/>
          <w:sz w:val="28"/>
          <w:szCs w:val="28"/>
          <w:b w:val="1"/>
          <w:bCs w:val="1"/>
          <w:rtl/>
        </w:rPr>
        <w:t xml:space="preserve">حسن خالد
</w:t>
      </w:r>
    </w:p>
    <w:p>
      <w:pPr/>
      <w:r>
        <w:rPr/>
        <w:t xml:space="preserve">حسن خالد  حسن خالد: مفتي لبنان، ولد ببيروت، وتخرج بكلية أصول الدين بالأزهر، فعين بالكلية الشرعية في بلده، ثم في محكمة بيروت الشرعية، وفي عام 1954 كان نائبا للقاضي بها، فقاضيا شرعيا لعكار، ثم صار مفتيا للجمهورية، منحه الأزهر شهادة الدكتوراه الفخرية، قتل في الحرب الأهلية اللبنانية بحادث تفجير سيارة. من كتبه (الإسلام والتكافل المادي في المجتمع)، (أحكام الأحوال الشخصية في الشريعة الإسلامية)، (المواريث في الشريعة الإسلامية)، (الشهيد في الإسلام)، (آراء ومواقف)، (المسلمون وحرب السنتين)، (مسار الدعوة الإسلامية في لبنان خلال القرن الرابع عشر الهجري)، (المسلمون في لبنان والحرب الأهلية)، (التوراة والإنجيل والقرآن والعلم) ترجمة، (أحاديث رمضان)، (رسالة التعريف بالإسلام) بالعربية والفرنسية، بالإضافة إلى عدد كبير من المقالات.</w:t>
      </w:r>
    </w:p>
    <w:p/>
    <w:p>
      <w:pPr>
        <w:jc w:val="start"/>
        <w:bidi/>
      </w:pPr>
      <w:r>
        <w:rPr>
          <w:sz w:val="24"/>
          <w:szCs w:val="24"/>
          <w:b w:val="1"/>
          <w:bCs w:val="1"/>
          <w:rtl/>
        </w:rPr>
        <w:t xml:space="preserve">
إتمام الأعلام،(دار صادر - بيروت،1999،ط 1،ج 1،ص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حسن خالد 
</w:t>
      </w:r>
    </w:p>
    <w:p>
      <w:pPr/>
      <w:r>
        <w:rPr/>
        <w:t xml:space="preserve">مفتي لبنان.</w:t>
      </w:r>
    </w:p>
    <w:p/>
    <w:p>
      <w:pPr/>
      <w:r>
        <w:rPr/>
        <w:t xml:space="preserve">تابع دراسته الأولى في مدارس المقاصد الإسلامية، ودراسته الثانية في الكلية الشرعية ببيروت، ثم انتقل إلى مصر، وهناك تخرج في كلية أصول الدين بالأزهر عام 1946 م، وبعد تخرجه عين أستاذاً في الكلية الشرعية ببيروت مدرساً لمادتي المنطق والتوجيه، ثم نقل إلى محكمة بيروت الشرعية، وفي عام 1954 عين نائباً لقاضي بيروت الشرعي، ثم قاضياً شرعياً لقضاء عكار، ثم نقل إلى محكمة محافظة جبل لبنان الشرعية. وفي عام 1966 م اختير مفتياً للجمهورية اللبنانية خلفاً لمحمد علايا، وهو منصب يشغله صاحبه مدى الحياة.</w:t>
      </w:r>
    </w:p>
    <w:p/>
    <w:p>
      <w:pPr/>
      <w:r>
        <w:rPr/>
        <w:t xml:space="preserve">وكان عضواً في رابطة العالم الإسلامي، وعضواً في مجمع البحوث الإسلامية في الأزهر الشريف بالقاهرة، ومؤسسات إسلامية عالمية. واغتيل في شوال.</w:t>
      </w:r>
    </w:p>
    <w:p/>
    <w:p>
      <w:pPr/>
      <w:r>
        <w:rPr/>
        <w:t xml:space="preserve">وقد تم افتتاح مؤسسة تحمل اسمه هي ’’مؤسسة الشهيد حسن خالد للتربية والتعليم’’ عام 1993 م.</w:t>
      </w:r>
    </w:p>
    <w:p/>
    <w:p>
      <w:pPr/>
      <w:r>
        <w:rPr/>
        <w:t xml:space="preserve">له مؤلفات دينية واجتماعية وسياسية، منها:</w:t>
      </w:r>
    </w:p>
    <w:p/>
    <w:p>
      <w:pPr/>
      <w:r>
        <w:rPr/>
        <w:t xml:space="preserve">- آراء ومواقف.</w:t>
      </w:r>
    </w:p>
    <w:p/>
    <w:p>
      <w:pPr/>
      <w:r>
        <w:rPr/>
        <w:t xml:space="preserve">- الإسلام والتكامل المادي في المجتمع.</w:t>
      </w:r>
    </w:p>
    <w:p/>
    <w:p>
      <w:pPr/>
      <w:r>
        <w:rPr/>
        <w:t xml:space="preserve">- أحكام الأحوال الشخصية في الشريعة الإسلامية.</w:t>
      </w:r>
    </w:p>
    <w:p/>
    <w:p>
      <w:pPr/>
      <w:r>
        <w:rPr/>
        <w:t xml:space="preserve">- أحاديث رمضان. - بيروت: المكتب الإسلامي، 1403 هـ، 133 ص.</w:t>
      </w:r>
    </w:p>
    <w:p/>
    <w:p>
      <w:pPr/>
      <w:r>
        <w:rPr/>
        <w:t xml:space="preserve">- التوراة والإنجيل والقرآن والعلم / موريس بوكاي (ترجمة). - ط 2 - بيروت؛ دمشق: المكتب الإسلامي، 1407 هـ، 296 ص.</w:t>
      </w:r>
    </w:p>
    <w:p/>
    <w:p>
      <w:pPr/>
      <w:r>
        <w:rPr/>
        <w:t xml:space="preserve">- الزواج بغير المسلمين.</w:t>
      </w:r>
    </w:p>
    <w:p/>
    <w:p>
      <w:pPr/>
      <w:r>
        <w:rPr/>
        <w:t xml:space="preserve">- الشهيد في الإسلام. - ط 2. - بيروت: دار العلم للملايين.</w:t>
      </w:r>
    </w:p>
    <w:p/>
    <w:p>
      <w:pPr/>
      <w:r>
        <w:rPr/>
        <w:t xml:space="preserve">- مسار الدعوة الإسلامية في لبنان خلال القرن الرابع عشر الهجري. - بيروت: دار الدعوة، 1400 هـ.</w:t>
      </w:r>
    </w:p>
    <w:p/>
    <w:p>
      <w:pPr/>
      <w:r>
        <w:rPr/>
        <w:t xml:space="preserve">- المسلمون في لبنان والحرب الأهلية. - بيروت: دار الكندي، 1398 هـ.</w:t>
      </w:r>
    </w:p>
    <w:p/>
    <w:p>
      <w:pPr/>
      <w:r>
        <w:rPr/>
        <w:t xml:space="preserve">- المسلمون وحرب السنتين.</w:t>
      </w:r>
    </w:p>
    <w:p/>
    <w:p>
      <w:pPr/>
      <w:r>
        <w:rPr/>
        <w:t xml:space="preserve">- المواريث في الشريعة الإسلامية وما يجري عليه العمل في المحاكم الشرعية (بالاشتراك مع عدنان نجا). - ط 2. - بيروت: دار لبنان، 1400 هـ، 375 ص.</w:t>
      </w:r>
    </w:p>
    <w:p/>
    <w:p>
      <w:pPr/>
      <w:r>
        <w:rPr/>
        <w:t xml:space="preserve">- موقف الإسلام من الوثنية واليهودية والنصرانية. - بيروت، 1406 هـ.</w:t>
      </w:r>
    </w:p>
    <w:p/>
    <w:p>
      <w:pPr/>
      <w:r>
        <w:rPr/>
        <w:t xml:space="preserve">بالإضافة إلى عدد كبير من المقالات الدينية والاجتماعية التي تعالج قضايا مهمة في التشريع والاجتماع والأخلاق.</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2026-07-29T10:36:43+03:00</dcterms:created>
  <dcterms:modified xsi:type="dcterms:W3CDTF">2026-07-29T10:36:43+03:00</dcterms:modified>
</cp:coreProperties>
</file>

<file path=docProps/custom.xml><?xml version="1.0" encoding="utf-8"?>
<Properties xmlns="http://schemas.openxmlformats.org/officeDocument/2006/custom-properties" xmlns:vt="http://schemas.openxmlformats.org/officeDocument/2006/docPropsVTypes"/>
</file>