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البكراوي
</w:t>
      </w:r>
    </w:p>
    <w:p>
      <w:pPr>
        <w:jc w:val="start"/>
        <w:bidi/>
      </w:pPr>
      <w:r>
        <w:rPr>
          <w:rFonts w:ascii="arial" w:hAnsi="arial" w:eastAsia="arial" w:cs="arial"/>
          <w:sz w:val="28"/>
          <w:szCs w:val="28"/>
          <w:b w:val="1"/>
          <w:bCs w:val="1"/>
          <w:rtl/>
        </w:rPr>
        <w:t xml:space="preserve">البكراوي
</w:t>
      </w:r>
    </w:p>
    <w:p>
      <w:pPr/>
      <w:r>
        <w:rPr/>
        <w:t xml:space="preserve">البكراوي  إدريس بن عبد الله بن عبد القادر، أبو العلاء الإدريسي الودغيري الملقب بالبكراوي (بالقاف المعقودة): علامة بالقراآت، له فيها 18 كتابا، عدا كتبه في فقه مالك واللغة والنحو والفرائض. من أهل فاس. طبع له فيها (التوضيح والبيان في قراءة نافع بن عبد الرحمن) وله (درر المنافع في أصل رسم الستة السماذع غير نافع - خ) في الرباط، قراآت. </w:t>
      </w:r>
    </w:p>
    <w:p>
      <w:pPr>
        <w:jc w:val="start"/>
        <w:bidi/>
      </w:pPr>
      <w:r>
        <w:rPr>
          <w:sz w:val="24"/>
          <w:szCs w:val="24"/>
          <w:b w:val="1"/>
          <w:bCs w:val="1"/>
          <w:rtl/>
        </w:rPr>
        <w:t xml:space="preserve">
الأعلام،(دار العلم للملايين - بيروت،2002،ط 15،ج 1،ص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2026-09-20T07:22:46+03:00</dcterms:created>
  <dcterms:modified xsi:type="dcterms:W3CDTF">2026-09-20T07:22:46+03:00</dcterms:modified>
</cp:coreProperties>
</file>

<file path=docProps/custom.xml><?xml version="1.0" encoding="utf-8"?>
<Properties xmlns="http://schemas.openxmlformats.org/officeDocument/2006/custom-properties" xmlns:vt="http://schemas.openxmlformats.org/officeDocument/2006/docPropsVTypes"/>
</file>