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الصلح
</w:t>
      </w:r>
    </w:p>
    <w:p>
      <w:pPr>
        <w:jc w:val="start"/>
        <w:bidi/>
      </w:pPr>
      <w:r>
        <w:rPr>
          <w:rFonts w:ascii="arial" w:hAnsi="arial" w:eastAsia="arial" w:cs="arial"/>
          <w:sz w:val="28"/>
          <w:szCs w:val="28"/>
          <w:b w:val="1"/>
          <w:bCs w:val="1"/>
          <w:rtl/>
        </w:rPr>
        <w:t xml:space="preserve">تقي الدين الصلح
</w:t>
      </w:r>
    </w:p>
    <w:p>
      <w:pPr/>
      <w:r>
        <w:rPr/>
        <w:t xml:space="preserve">تقي الدين الصلح  تقي الدين الصلح: رئيس الوزراء اللبناني الأسبق، ولد ببيروت، وتعلم في الجامعة اليسوعية والأمريكية ومارس التدريس والصحافة، اشترك مع أخيه كاظم وآخرين بتأسيس حزب النداء العربي وجريدتي (النداء) و (الديار) وتولى تأسيس مديرية الدعاية والنشر، وكان مستشارا سياسيا في الجامعة العربية، وانتخب نقيبا للصحفيين، كما انتخب نائبا في البرلمان، اختير وزيرا للداخلية، ثم رئيسا للوزارة، كان من دعاة التوفيق خلال الحرب الأهلية في لبنان.</w:t>
      </w:r>
    </w:p>
    <w:p/>
    <w:p>
      <w:pPr>
        <w:jc w:val="start"/>
        <w:bidi/>
      </w:pPr>
      <w:r>
        <w:rPr>
          <w:sz w:val="24"/>
          <w:szCs w:val="24"/>
          <w:b w:val="1"/>
          <w:bCs w:val="1"/>
          <w:rtl/>
        </w:rPr>
        <w:t xml:space="preserve">
إتمام الأعلام،(دار صادر - بيروت،1999،ط 1،ج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2026-10-11T05:52:50+03:00</dcterms:created>
  <dcterms:modified xsi:type="dcterms:W3CDTF">2026-10-11T05:52:50+03:00</dcterms:modified>
</cp:coreProperties>
</file>

<file path=docProps/custom.xml><?xml version="1.0" encoding="utf-8"?>
<Properties xmlns="http://schemas.openxmlformats.org/officeDocument/2006/custom-properties" xmlns:vt="http://schemas.openxmlformats.org/officeDocument/2006/docPropsVTypes"/>
</file>