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النيفر
</w:t>
      </w:r>
    </w:p>
    <w:p>
      <w:pPr>
        <w:jc w:val="start"/>
        <w:bidi/>
      </w:pPr>
      <w:r>
        <w:rPr>
          <w:rFonts w:ascii="arial" w:hAnsi="arial" w:eastAsia="arial" w:cs="arial"/>
          <w:sz w:val="28"/>
          <w:szCs w:val="28"/>
          <w:b w:val="1"/>
          <w:bCs w:val="1"/>
          <w:rtl/>
        </w:rPr>
        <w:t xml:space="preserve">النيفر
</w:t>
      </w:r>
    </w:p>
    <w:p>
      <w:pPr/>
      <w:r>
        <w:rPr/>
        <w:t xml:space="preserve">النيفر  أحمد المهدي بن محمد الصادق بن محمد الطاهر النيفر: قاض مفت من أهالي تونس ولد بها وتعلم بالزيتونة ثم تولى الإمامة والخطابة بعد وفاة والده رقي إلى درجة الإفتاء في المجلس العلي، وكف بخطة القضاء والإرشاد الشرعي، سمي أستاذ التعليم العالي بعد ضم الكلية الزيتونية للجامعة التونسية من كتبه (تحقيق على الغنية) للقاضي عياض (رسالة في الصيام).</w:t>
      </w:r>
    </w:p>
    <w:p/>
    <w:p>
      <w:pPr>
        <w:jc w:val="start"/>
        <w:bidi/>
      </w:pPr>
      <w:r>
        <w:rPr>
          <w:sz w:val="24"/>
          <w:szCs w:val="24"/>
          <w:b w:val="1"/>
          <w:bCs w:val="1"/>
          <w:rtl/>
        </w:rPr>
        <w:t xml:space="preserve">
إتمام الأعلام،(دار صادر - بيروت،1999،ط 1،ج 1،ص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2026-10-11T02:59:57+03:00</dcterms:created>
  <dcterms:modified xsi:type="dcterms:W3CDTF">2026-10-11T02:59:57+03:00</dcterms:modified>
</cp:coreProperties>
</file>

<file path=docProps/custom.xml><?xml version="1.0" encoding="utf-8"?>
<Properties xmlns="http://schemas.openxmlformats.org/officeDocument/2006/custom-properties" xmlns:vt="http://schemas.openxmlformats.org/officeDocument/2006/docPropsVTypes"/>
</file>