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أحيحة بن الجلاح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أحيحة بن الجلاح
</w:t>
      </w:r>
    </w:p>
    <w:p>
      <w:pPr/>
      <w:r>
        <w:rPr/>
        <w:t xml:space="preserve">أحيحة بن الجلاح  أحيحة بن الجلاح بن الحريش الاوسي أبو عمرو: شاعر جاهلي من دهاة العرب وشجعانهم. قال الميداني: كان سيد يثرب (المدينة) وكان له حصن فيها سماه (المستظل) وحصن في ظاهرها سماه ’’ الضحيان’’ ومزارع وبساتين ومال وفير. وقال البغدادي: كان سيد الاوس في الجاهلية. وكان مرابيا كثير المال. اما شعره فالباقي منه قليل جدا.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2026-09-20T06:07:10+03:00</dcterms:created>
  <dcterms:modified xsi:type="dcterms:W3CDTF">2026-09-20T06:07:10+03:00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