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البوعياشي
</w:t>
      </w:r>
    </w:p>
    <w:p>
      <w:pPr>
        <w:jc w:val="start"/>
        <w:bidi/>
      </w:pPr>
      <w:r>
        <w:rPr>
          <w:rFonts w:ascii="arial" w:hAnsi="arial" w:eastAsia="arial" w:cs="arial"/>
          <w:sz w:val="28"/>
          <w:szCs w:val="28"/>
          <w:b w:val="1"/>
          <w:bCs w:val="1"/>
          <w:rtl/>
        </w:rPr>
        <w:t xml:space="preserve">البوعياشي
</w:t>
      </w:r>
    </w:p>
    <w:p>
      <w:pPr/>
      <w:r>
        <w:rPr/>
        <w:t xml:space="preserve">البوعياشي  أحمد عبد السلام البوعياشي: مؤرخ قاض من أهالي المغرب. كان قاضيا في طنجة، فلما أحيل على التقاعد عمل بالمحاماة في الريف المغربي. ويعد من أوائل المؤرخين المعاصرين الذين اهتموا بتاريخ منطقة الريف بالمغرب. من كتبه (الريف بعد الفتح الإسلامي)، (حرب الريف التحريرية) جزآن، نال عليه جائزة المغرب، (الثائر المهزوم) رواية.</w:t>
      </w:r>
    </w:p>
    <w:p/>
    <w:p>
      <w:pPr>
        <w:jc w:val="start"/>
        <w:bidi/>
      </w:pPr>
      <w:r>
        <w:rPr>
          <w:sz w:val="24"/>
          <w:szCs w:val="24"/>
          <w:b w:val="1"/>
          <w:bCs w:val="1"/>
          <w:rtl/>
        </w:rPr>
        <w:t xml:space="preserve">
إتمام الأعلام،(دار صادر - بيروت،1999،ط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2026-10-11T02:02:35+03:00</dcterms:created>
  <dcterms:modified xsi:type="dcterms:W3CDTF">2026-10-11T02:02:35+03:00</dcterms:modified>
</cp:coreProperties>
</file>

<file path=docProps/custom.xml><?xml version="1.0" encoding="utf-8"?>
<Properties xmlns="http://schemas.openxmlformats.org/officeDocument/2006/custom-properties" xmlns:vt="http://schemas.openxmlformats.org/officeDocument/2006/docPropsVTypes"/>
</file>