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حمزة
</w:t>
      </w:r>
    </w:p>
    <w:p>
      <w:pPr>
        <w:jc w:val="start"/>
        <w:bidi/>
      </w:pPr>
      <w:r>
        <w:rPr>
          <w:rFonts w:ascii="arial" w:hAnsi="arial" w:eastAsia="arial" w:cs="arial"/>
          <w:sz w:val="28"/>
          <w:szCs w:val="28"/>
          <w:b w:val="1"/>
          <w:bCs w:val="1"/>
          <w:rtl/>
        </w:rPr>
        <w:t xml:space="preserve">أحمد حمزة
</w:t>
      </w:r>
    </w:p>
    <w:p>
      <w:pPr/>
      <w:r>
        <w:rPr/>
        <w:t xml:space="preserve">أحمد حمزة  أحمد حمزة: صحفي، وزير. ولد بقرية طحالاب في صعيد مصر لأسرة عرف آباؤها بالتدين والوطنية. غادر إلى برمنغهام بإنكلترة لدراسة الميكانيك، فلما عاد أنشأ مصنعا للثلج لمحاربة احتكار الأجانب بشركة مياه القاهرة، واشتغل بالزراعة فاستنبت الزهور وأسس معملا لتقطير ماء الورد والياسمين، كان يرسل بعضه لغسل الكعبة المشرفة كل عام، تولى وزارة التموين فكسر احتكار القمح، ثم وزارة الزراع فشرع بإعمار الصحارى، ونشر فيها المراعي، وأخذ يقاوم الآفات. أقام معهدا دينيا تابعا للأزهر، وأصدر مجلة (لواء الإسلام)، عام 1947 فاستمرت بالصدور من بعده حتى توقفت عام 1989.</w:t>
      </w:r>
    </w:p>
    <w:p/>
    <w:p>
      <w:pPr>
        <w:jc w:val="start"/>
        <w:bidi/>
      </w:pPr>
      <w:r>
        <w:rPr>
          <w:sz w:val="24"/>
          <w:szCs w:val="24"/>
          <w:b w:val="1"/>
          <w:bCs w:val="1"/>
          <w:rtl/>
        </w:rPr>
        <w:t xml:space="preserve">
إتمام الأعلام،(دار صادر - بيروت،1999،ط 1،ج 1،ص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2026-10-11T01:03:58+03:00</dcterms:created>
  <dcterms:modified xsi:type="dcterms:W3CDTF">2026-10-11T01:03:58+03:00</dcterms:modified>
</cp:coreProperties>
</file>

<file path=docProps/custom.xml><?xml version="1.0" encoding="utf-8"?>
<Properties xmlns="http://schemas.openxmlformats.org/officeDocument/2006/custom-properties" xmlns:vt="http://schemas.openxmlformats.org/officeDocument/2006/docPropsVTypes"/>
</file>