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العيثاوي
</w:t>
      </w:r>
    </w:p>
    <w:p>
      <w:pPr>
        <w:jc w:val="start"/>
        <w:bidi/>
      </w:pPr>
      <w:r>
        <w:rPr>
          <w:rFonts w:ascii="arial" w:hAnsi="arial" w:eastAsia="arial" w:cs="arial"/>
          <w:sz w:val="28"/>
          <w:szCs w:val="28"/>
          <w:b w:val="1"/>
          <w:bCs w:val="1"/>
          <w:rtl/>
        </w:rPr>
        <w:t xml:space="preserve">العيثاوي
</w:t>
      </w:r>
    </w:p>
    <w:p>
      <w:pPr/>
      <w:r>
        <w:rPr/>
        <w:t xml:space="preserve">العيثاوي  أحمد بن يونس بن احمد، شهاب الدين العيثاوي، فاضل افتى ودرس. مولده ووفاته بدمشق ونسبته إلى عيثا (من قرى البقاع العزيزي - على مقربة من دمشق) قدم والده منها. من تصانيفه متن سماه (الحبب) في فقه الشافعية، وشرح له اسماه (الخبب في التقاط الحبب) وكان فقيه أهل زمانه وعليه المعول في الفتوى بينهم. </w:t>
      </w:r>
    </w:p>
    <w:p>
      <w:pPr>
        <w:jc w:val="start"/>
        <w:bidi/>
      </w:pPr>
      <w:r>
        <w:rPr>
          <w:sz w:val="24"/>
          <w:szCs w:val="24"/>
          <w:b w:val="1"/>
          <w:bCs w:val="1"/>
          <w:rtl/>
        </w:rPr>
        <w:t xml:space="preserve">
الأعلام،(دار العلم للملايين - بيروت،2002،ط 15،ج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2026-07-29T07:07:30+03:00</dcterms:created>
  <dcterms:modified xsi:type="dcterms:W3CDTF">2026-07-29T07:07:30+03:00</dcterms:modified>
</cp:coreProperties>
</file>

<file path=docProps/custom.xml><?xml version="1.0" encoding="utf-8"?>
<Properties xmlns="http://schemas.openxmlformats.org/officeDocument/2006/custom-properties" xmlns:vt="http://schemas.openxmlformats.org/officeDocument/2006/docPropsVTypes"/>
</file>