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ولهوسن
</w:t>
      </w:r>
    </w:p>
    <w:p>
      <w:pPr>
        <w:jc w:val="start"/>
        <w:bidi/>
      </w:pPr>
      <w:r>
        <w:rPr>
          <w:rFonts w:ascii="arial" w:hAnsi="arial" w:eastAsia="arial" w:cs="arial"/>
          <w:sz w:val="28"/>
          <w:szCs w:val="28"/>
          <w:b w:val="1"/>
          <w:bCs w:val="1"/>
          <w:rtl/>
        </w:rPr>
        <w:t xml:space="preserve">ولهوسن
</w:t>
      </w:r>
    </w:p>
    <w:p>
      <w:pPr/>
      <w:r>
        <w:rPr/>
        <w:t xml:space="preserve">ولهوسن  يولوسن ولهوسن J. Wellhausen: مستشرق ألمانى. قال بروكلمن: كان من أساتذة مدرسة (غوتنجن). صنف بلغته كتبا فى (تاريخ الدولة الأموية) و (دين العرب فى الجاهلية) ونشر بالعربية، مع ترجمة ألمانية، الجزء الثانى من (أشعار الهذليين) وكان كوسغرتن قد نشر الجزء الأول منه. وقال شيخو: صنف التآليف المدققة فى تاريخ العرب قبل الإسلام وآثارهم الدينية والمدنية، ثم تتبع أخبارهم بعد الإسلام فى عهد بنى أمية وبنى العباس إلى سقوط تلك الدولة وتآليفه هذه من أجود ما كتب فى هذا الصدد؛ وله تآليف أخرى عن الأسفار المقدسة ذهب فيها مذهب الإباحيين. </w:t>
      </w:r>
    </w:p>
    <w:p>
      <w:pPr>
        <w:jc w:val="start"/>
        <w:bidi/>
      </w:pPr>
      <w:r>
        <w:rPr>
          <w:sz w:val="24"/>
          <w:szCs w:val="24"/>
          <w:b w:val="1"/>
          <w:bCs w:val="1"/>
          <w:rtl/>
        </w:rPr>
        <w:t xml:space="preserve">
الأعلام،(دار العلم للملايين - بيروت،2002،ط 15،ج 8،ص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2026-10-10T22:12:05+03:00</dcterms:created>
  <dcterms:modified xsi:type="dcterms:W3CDTF">2026-10-10T22:12:05+03:00</dcterms:modified>
</cp:coreProperties>
</file>

<file path=docProps/custom.xml><?xml version="1.0" encoding="utf-8"?>
<Properties xmlns="http://schemas.openxmlformats.org/officeDocument/2006/custom-properties" xmlns:vt="http://schemas.openxmlformats.org/officeDocument/2006/docPropsVTypes"/>
</file>