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الحجاج
</w:t>
      </w:r>
    </w:p>
    <w:p>
      <w:pPr>
        <w:jc w:val="start"/>
        <w:bidi/>
      </w:pPr>
      <w:r>
        <w:rPr>
          <w:rFonts w:ascii="arial" w:hAnsi="arial" w:eastAsia="arial" w:cs="arial"/>
          <w:sz w:val="28"/>
          <w:szCs w:val="28"/>
          <w:b w:val="1"/>
          <w:bCs w:val="1"/>
          <w:rtl/>
        </w:rPr>
        <w:t xml:space="preserve">أبو الحجاج
</w:t>
      </w:r>
    </w:p>
    <w:p>
      <w:pPr/>
      <w:r>
        <w:rPr/>
        <w:t xml:space="preserve">أبو الحجاج  يوسف بن محمد بن يوسف بن إسماعيل ابن فرج بن نصر، السلطان أبو الحجاج ابن السلطان المخلوع أبى عبد الله ابن السلطان أبى الحجاج ابن السلطان أبى الوليد المعروف بابن الأحمر، الغرناطى الأندلسى: سلطان غرناطة. من سلاطين دولة بنى نصر بن الأحمر، بالأندلس. تولاها بعد وفاة أبيه (سنة 793هـ) وأراد السير على سياسته فى المحافظة على الهدنة مع ملوك (قشتالة) فلم يتهيأ له ذلك. وحدثت بينه وبين بعضهم مناوشات انتهت بعقد معاهدة صلح مع الملك الشاب هنرى الثالث، على شروط شريفة (كما يقول سيد أمير على) واستمر إلى أن توفى. </w:t>
      </w:r>
    </w:p>
    <w:p>
      <w:pPr>
        <w:jc w:val="start"/>
        <w:bidi/>
      </w:pPr>
      <w:r>
        <w:rPr>
          <w:sz w:val="24"/>
          <w:szCs w:val="24"/>
          <w:b w:val="1"/>
          <w:bCs w:val="1"/>
          <w:rtl/>
        </w:rPr>
        <w:t xml:space="preserve">
الأعلام،(دار العلم للملايين - بيروت،2002،ط 15،ج 8،ص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2026-10-10T20:12:46+03:00</dcterms:created>
  <dcterms:modified xsi:type="dcterms:W3CDTF">2026-10-10T20:12:46+03:00</dcterms:modified>
</cp:coreProperties>
</file>

<file path=docProps/custom.xml><?xml version="1.0" encoding="utf-8"?>
<Properties xmlns="http://schemas.openxmlformats.org/officeDocument/2006/custom-properties" xmlns:vt="http://schemas.openxmlformats.org/officeDocument/2006/docPropsVTypes"/>
</file>