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المرداوي
</w:t>
      </w:r>
    </w:p>
    <w:p>
      <w:pPr>
        <w:jc w:val="start"/>
        <w:bidi/>
      </w:pPr>
      <w:r>
        <w:rPr>
          <w:rFonts w:ascii="arial" w:hAnsi="arial" w:eastAsia="arial" w:cs="arial"/>
          <w:sz w:val="28"/>
          <w:szCs w:val="28"/>
          <w:b w:val="1"/>
          <w:bCs w:val="1"/>
          <w:rtl/>
        </w:rPr>
        <w:t xml:space="preserve">المرداوي
</w:t>
      </w:r>
    </w:p>
    <w:p>
      <w:pPr/>
      <w:r>
        <w:rPr/>
        <w:t xml:space="preserve">المرداوي  يوسف بن محمد بن التقي عبد الله بن محمد بن محمود أبو المحاسن جمال الدين المرداوي. قاض، من فقاء الحنابلة. من أهل دمشق مولدا ووفاة. تصدر للتدريس والإفتاء في الجامع المظفر، ثم ولي قضاء الحنابلة سبع عشرة سنة. وعزل سنة 767 ومات عن نحو 70 عاما. كان بعيدا عن المحاباة، لايركب مع القضاة، في عيد ولامحمل. له (الانتصار) في أحاديث الأحكام، بوبه على أبواب المقنع في الفقه، و (كفاية المستقنع لأدلة المقنع-خ). </w:t>
      </w:r>
    </w:p>
    <w:p>
      <w:pPr>
        <w:jc w:val="start"/>
        <w:bidi/>
      </w:pPr>
      <w:r>
        <w:rPr>
          <w:sz w:val="24"/>
          <w:szCs w:val="24"/>
          <w:b w:val="1"/>
          <w:bCs w:val="1"/>
          <w:rtl/>
        </w:rPr>
        <w:t xml:space="preserve">
الأعلام،(دار العلم للملايين - بيروت،2002،ط 15،ج 8،ص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2026-10-10T20:12:06+03:00</dcterms:created>
  <dcterms:modified xsi:type="dcterms:W3CDTF">2026-10-10T20:12:06+03:00</dcterms:modified>
</cp:coreProperties>
</file>

<file path=docProps/custom.xml><?xml version="1.0" encoding="utf-8"?>
<Properties xmlns="http://schemas.openxmlformats.org/officeDocument/2006/custom-properties" xmlns:vt="http://schemas.openxmlformats.org/officeDocument/2006/docPropsVTypes"/>
</file>