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الخويي
</w:t>
      </w:r>
    </w:p>
    <w:p>
      <w:pPr>
        <w:jc w:val="start"/>
        <w:bidi/>
      </w:pPr>
      <w:r>
        <w:rPr>
          <w:rFonts w:ascii="arial" w:hAnsi="arial" w:eastAsia="arial" w:cs="arial"/>
          <w:sz w:val="28"/>
          <w:szCs w:val="28"/>
          <w:b w:val="1"/>
          <w:bCs w:val="1"/>
          <w:rtl/>
        </w:rPr>
        <w:t xml:space="preserve">الخويي
</w:t>
      </w:r>
    </w:p>
    <w:p>
      <w:pPr/>
      <w:r>
        <w:rPr/>
        <w:t xml:space="preserve">الخويي  يوسف بن طاهر بن يوسف بن الحسن، أبو يعقوب الخويي: عالم بالأدب، له نظم حسن. من أهل (خوى) من اعمال اذربيجان. سكن (نوقان) إحدى قصبتي طوس. وولى نيابة القضاء بها، وحمدت سيرته. ولقيه فيها السمعاني (صاحب الأنساب) وكتب عنه (أقطاعا) من شعره، وقال: وظني أنه قتل في وقعة العرب بطوس سنة 549 أو قبلها بيسير. له تصانيف، منها (شرح سقط الزند للمعري-ط) فرغ من تأليفه سنة 541 و (فرائد الخرائد-خ) و (تنزيه القرآن الشريف عن وصمة اللحن والتحريف) رسالة.</w:t>
      </w:r>
    </w:p>
    <w:p>
      <w:pPr>
        <w:jc w:val="start"/>
        <w:bidi/>
      </w:pPr>
      <w:r>
        <w:rPr>
          <w:sz w:val="24"/>
          <w:szCs w:val="24"/>
          <w:b w:val="1"/>
          <w:bCs w:val="1"/>
          <w:rtl/>
        </w:rPr>
        <w:t xml:space="preserve">
الأعلام،(دار العلم للملايين - بيروت،2002،ط 15،ج 8،ص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2026-07-29T02:54:24+03:00</dcterms:created>
  <dcterms:modified xsi:type="dcterms:W3CDTF">2026-07-29T02:54:24+03:00</dcterms:modified>
</cp:coreProperties>
</file>

<file path=docProps/custom.xml><?xml version="1.0" encoding="utf-8"?>
<Properties xmlns="http://schemas.openxmlformats.org/officeDocument/2006/custom-properties" xmlns:vt="http://schemas.openxmlformats.org/officeDocument/2006/docPropsVTypes"/>
</file>