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تغري بردي
</w:t>
      </w:r>
    </w:p>
    <w:p>
      <w:pPr>
        <w:jc w:val="start"/>
        <w:bidi/>
      </w:pPr>
      <w:r>
        <w:rPr>
          <w:rFonts w:ascii="arial" w:hAnsi="arial" w:eastAsia="arial" w:cs="arial"/>
          <w:sz w:val="28"/>
          <w:szCs w:val="28"/>
          <w:b w:val="1"/>
          <w:bCs w:val="1"/>
          <w:rtl/>
        </w:rPr>
        <w:t xml:space="preserve">ابن تغري بردي
</w:t>
      </w:r>
    </w:p>
    <w:p>
      <w:pPr/>
      <w:r>
        <w:rPr/>
        <w:t xml:space="preserve">ابن تغري بردي  يوسف بن تغرى بردى بن عبد الله الظاهرى الحنفى، أبو المحاسن، جمال الدين: مؤرخ بحاثة. من أهل القاهرة، مولدا ووفاة. كان أبوه من مماليك الظاهر برقوق ومن أمراء جيشه المقدمين، ومات بدمشق سنة 815هـ. ونشأ يوسف فى حجر قاضى القضاة جلال الدين البلقينى (المتوفى سنة 824) وتأدب وتفقه وقرأ الحديث وأولع بالتاريخ وبرع فى فنون الفروسية وامتاز فى علم النغم والإيقاع. وصنف كتبا نفسية، منها (النجوم الزاهرة فى ملوك مصر والقاهرة -ط) و (المنهل الصافى والمستوفى بعد الوافى -خ) فى التراجم، كبير، ومختصر (الدليل الشافى على المنهل الصافى) أكمل بهما الوافى للصفدى، و (مورد اللطافة فى من ولى السلطنة والخلافة -ط) و (نزهة الرائى) فى التاريخ، منه الجزء التاسع مخطوط، و (حوادث الدهور فى مدى الأيام والشهور -ط) أربعة أجزاء منه، جعله ذيلا لكتاب السلوك للمقريزى، و (البحر الزاخر فى علم الأوائل والأواخر) مطول فى التاريخ، منه جزء صغير مخطوط، و (حلية الصفات فى الأسماء والصناعات) أدب.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تغري بردي الجمال أبو المحاسن ابن الأتابكي بالديار المصرية
</w:t>
      </w:r>
    </w:p>
    <w:p>
      <w:pPr/>
      <w:r>
        <w:rPr/>
        <w:t xml:space="preserve">يوسف بن تغري بردي الجمال أبو المحاسن ابن الأتابكي بالديار المصرية </w:t>
      </w:r>
    </w:p>
    <w:p/>
    <w:p>
      <w:pPr/>
      <w:r>
        <w:rPr/>
        <w:t xml:space="preserve">ولد بشوال سنة 813 ثلاث عشرة وثمان مائة وحفظ مختصرات كثيرة وأخذ عن العيني والشمني والكافياجي والزين قاسم وابن عرب شاه وغيرهم وحج واعتنى بكتابة الحوادث وله مصنفات منها المنهل الصافي في ست مجلدات تراجم على الحروف المعجم من دولة الأتراك بمصر ومورد اللطافة فيمن ولى السلطنة والخلافة والبشارة في تكميل الإشارة للذهبي وحلية الصفات في الأسماء والصفات وقد قال السخاوي في ترجمته أن مؤلفاته فيها كثير من الخلط والوهم وهو من معاصريه فالله أعلم وقد أكثر من الحط عليه وأطال ترجمته متتبعا لغلطاته ومات يوم الثلاثاء خامس ذي الحجة سنة 874 أربع وسبعين وثمان مائة</w:t>
      </w:r>
    </w:p>
    <w:p>
      <w:pPr>
        <w:jc w:val="start"/>
        <w:bidi/>
      </w:pPr>
      <w:r>
        <w:rPr>
          <w:sz w:val="24"/>
          <w:szCs w:val="24"/>
          <w:b w:val="1"/>
          <w:bCs w:val="1"/>
          <w:rtl/>
        </w:rPr>
        <w:t xml:space="preserve">
البدر الطالع بمحاسن من بعد القرن السابع،(دار المعرفة - بيروت،0،ط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2026-10-10T16:26:42+03:00</dcterms:created>
  <dcterms:modified xsi:type="dcterms:W3CDTF">2026-10-10T16:26:42+03:00</dcterms:modified>
</cp:coreProperties>
</file>

<file path=docProps/custom.xml><?xml version="1.0" encoding="utf-8"?>
<Properties xmlns="http://schemas.openxmlformats.org/officeDocument/2006/custom-properties" xmlns:vt="http://schemas.openxmlformats.org/officeDocument/2006/docPropsVTypes"/>
</file>