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الورجلاني
</w:t>
      </w:r>
    </w:p>
    <w:p>
      <w:pPr>
        <w:jc w:val="start"/>
        <w:bidi/>
      </w:pPr>
      <w:r>
        <w:rPr>
          <w:rFonts w:ascii="arial" w:hAnsi="arial" w:eastAsia="arial" w:cs="arial"/>
          <w:sz w:val="28"/>
          <w:szCs w:val="28"/>
          <w:b w:val="1"/>
          <w:bCs w:val="1"/>
          <w:rtl/>
        </w:rPr>
        <w:t xml:space="preserve">الورجلاني
</w:t>
      </w:r>
    </w:p>
    <w:p>
      <w:pPr/>
      <w:r>
        <w:rPr/>
        <w:t xml:space="preserve">الورجلاني  يوسف بن إبراهيم بن مياد السدراتي الورجلاني، أبو يعقوب: عالم بأصول الفقه، إباضي. من أهل ورجلان (وهي واد في المغرب الأقصى كانت فيه عمارة ينزلها الإباضيون وخربها يحيى بن غسحاق الميورقي سنة 626هـ) رحل في شبابه إلى الأندلس، وسكن قرطبة. ورأى (مسند الربيع بن حبيب) مشوشا، فرتبه وسماه (الجامع الصحيح-ط) تقدم ذكره في ترجمة الربيع. ومن كتب الورجلاني (العدل والإنصاف) في أصول الفقه، ثلاثة أجزاء، و (الدليل والبرهان-ط) في عقائد الإباضية، ثلاثة أجزاء، و (مرج البحرين) في المنطق والهندسة والحساب، وله نظم. </w:t>
      </w:r>
    </w:p>
    <w:p>
      <w:pPr>
        <w:jc w:val="start"/>
        <w:bidi/>
      </w:pPr>
      <w:r>
        <w:rPr>
          <w:sz w:val="24"/>
          <w:szCs w:val="24"/>
          <w:b w:val="1"/>
          <w:bCs w:val="1"/>
          <w:rtl/>
        </w:rPr>
        <w:t xml:space="preserve">
الأعلام،(دار العلم للملايين - بيروت،2002،ط 15،ج 8،ص 212)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2026-10-10T15:45:02+03:00</dcterms:created>
  <dcterms:modified xsi:type="dcterms:W3CDTF">2026-10-10T15:45:02+03:00</dcterms:modified>
</cp:coreProperties>
</file>

<file path=docProps/custom.xml><?xml version="1.0" encoding="utf-8"?>
<Properties xmlns="http://schemas.openxmlformats.org/officeDocument/2006/custom-properties" xmlns:vt="http://schemas.openxmlformats.org/officeDocument/2006/docPropsVTypes"/>
</file>