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عبد الواحد بن أحمد الإمام القدوة العابد المحدث بقية السلف الأخيار شمس الدين أبو عبد الله بن الكمال المقدسي الصالحي الحنبلي
</w:t>
      </w:r>
    </w:p>
    <w:p>
      <w:pPr>
        <w:jc w:val="start"/>
        <w:bidi/>
      </w:pPr>
      <w:r>
        <w:rPr>
          <w:rFonts w:ascii="arial" w:hAnsi="arial" w:eastAsia="arial" w:cs="arial"/>
          <w:sz w:val="28"/>
          <w:szCs w:val="28"/>
          <w:b w:val="1"/>
          <w:bCs w:val="1"/>
          <w:rtl/>
        </w:rPr>
        <w:t xml:space="preserve">محمد بن عبد الرحيم بن عبد الواحد بن أحمد الإمام القدوة العابد المحدث بقية السلف الأخيار شمس الدين أبو عبد الله بن الكمال المقدسي الصالحي الحنبلي
</w:t>
      </w:r>
    </w:p>
    <w:p>
      <w:pPr/>
      <w:r>
        <w:rPr/>
        <w:t xml:space="preserve">محمد بن عبد الرحيم بن عبد الواحد بن أحمد الإمام القدوة العابد المحدث بقية السلف الأخيار شمس الدين أبو عبد الله بن الكمال المقدسي الصالحي الحنبلي ولد في ذي الحجة سنة سبع وست مائة.</w:t>
      </w:r>
    </w:p>
    <w:p/>
    <w:p>
      <w:pPr/>
      <w:r>
        <w:rPr/>
        <w:t xml:space="preserve">وسمع من الكندي، وابن الحرستاني، حضورا، وسمع من ابن ملاعب، وابن عبد القادر، وابن أبي لقمة، وابن البن، والشيخ الموفق، وابن راجح، وعدة، وأكثر إلى الغاية، عن عمه الشيخ الضياء، وتخرج به، وقرأ الكثير، وكتب الأجزاء، وتمم أحكام عمه، على استقامة، وصدق وتواضع وخشية ومراقبة، وصار شيخ الضيائية، وحدث بالكثير.</w:t>
      </w:r>
    </w:p>
    <w:p/>
    <w:p>
      <w:pPr/>
      <w:r>
        <w:rPr/>
        <w:t xml:space="preserve">مات في جمادى الأولى سنة ثمان وثمانين وست مائة.......</w:t>
      </w:r>
    </w:p>
    <w:p/>
    <w:p>
      <w:pPr/>
      <w:r>
        <w:rPr/>
        <w:t xml:space="preserve">أجاز لنا محمد بن عبد الرحيم، وإبراهيم بن حمد، وعبد الرحمن بن الزين، وإبراهيم بن علي، وأبو بكر بن طرخان، أن داود بن أحمد الوكيل أخبرهم في سنة ثلاث عشرة وست مائة، وابن طرخان حاضر، أنا محمد بن عمر</w:t>
      </w:r>
    </w:p>
    <w:p/>
    <w:p>
      <w:pPr/>
      <w:r>
        <w:rPr/>
        <w:t xml:space="preserve">القاضي، أنا جابر بن ياسين، أنا محمد بن عبد الرحمن، أنا أبو القاسم البغوي، نا علي بن الجعد، نا شعبة، عن قتادة، عن الحسن، عن سمرة، عن النبي صلى الله عليه وسلم قال: «من قتل عبدا قتلناه، ومن جدعه جدعناه».</w:t>
      </w:r>
    </w:p>
    <w:p/>
    <w:p>
      <w:pPr/>
      <w:r>
        <w:rPr/>
        <w:t xml:space="preserve">تابعه سعيد، وهشام، عن قتادة، أخرجه أبو داود، والنسائي، والترمذي، وابن ماجه، وحسنه الترمذي، وقد ثبت سماع الحسن من سمرة في غير حديث.</w:t>
      </w:r>
    </w:p>
    <w:p/>
    <w:p>
      <w:pPr/>
      <w:r>
        <w:rPr/>
        <w:t xml:space="preserve">وهذا الحديث منسوخ، وقيل: بل للإمام ذلك إن رأى فيه مصلحة......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2026-07-28T23:57:20+03:00</dcterms:created>
  <dcterms:modified xsi:type="dcterms:W3CDTF">2026-07-28T23:57:20+03:00</dcterms:modified>
</cp:coreProperties>
</file>

<file path=docProps/custom.xml><?xml version="1.0" encoding="utf-8"?>
<Properties xmlns="http://schemas.openxmlformats.org/officeDocument/2006/custom-properties" xmlns:vt="http://schemas.openxmlformats.org/officeDocument/2006/docPropsVTypes"/>
</file>