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البروسوي
</w:t>
      </w:r>
    </w:p>
    <w:p>
      <w:pPr>
        <w:jc w:val="start"/>
        <w:bidi/>
      </w:pPr>
      <w:r>
        <w:rPr>
          <w:rFonts w:ascii="arial" w:hAnsi="arial" w:eastAsia="arial" w:cs="arial"/>
          <w:sz w:val="28"/>
          <w:szCs w:val="28"/>
          <w:b w:val="1"/>
          <w:bCs w:val="1"/>
          <w:rtl/>
        </w:rPr>
        <w:t xml:space="preserve">البروسوي
</w:t>
      </w:r>
    </w:p>
    <w:p>
      <w:pPr/>
      <w:r>
        <w:rPr/>
        <w:t xml:space="preserve">البروسوي  يعقوب بن علي البروسوي: فاضل، من علماء الروم (الترك) تصانيفه بالعربية. كان يسمى (يعقوب بن سيد علي) تولى التدريس في (بروسة) ثم في (آيدن) ففي (أدرنة) وولى القضاء بهذه. ثم أعيد للتدريس مدة، وتقاعد عن العمل. ومات راجعا من الحج، في (بركة الحاج) بمصر. من كتبه (مفاتيح الجنان في شرح شرعة الإسلام-ط) في التصوف، و (التذكرة-خ) في الحديث، و (حاشية على حاشية السيد، على لوامع الأسرار-خ) و (حاشية على شرح السراجية-خ) في الفرائض، و (حاشية على شرح ديباجة المصباح-خ) في النحو، و (مختصر مرآة الجنان لليافعي-خ) و (شرح كلستان-خ) بالعربية، والأصل فارسي للشيخ سعدي الشيرازي. </w:t>
      </w:r>
    </w:p>
    <w:p>
      <w:pPr>
        <w:jc w:val="start"/>
        <w:bidi/>
      </w:pPr>
      <w:r>
        <w:rPr>
          <w:sz w:val="24"/>
          <w:szCs w:val="24"/>
          <w:b w:val="1"/>
          <w:bCs w:val="1"/>
          <w:rtl/>
        </w:rPr>
        <w:t xml:space="preserve">
الأعلام،(دار العلم للملايين - بيروت،2002،ط 15،ج 8،ص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2026-10-10T13:41:00+03:00</dcterms:created>
  <dcterms:modified xsi:type="dcterms:W3CDTF">2026-10-10T13:41:00+03:00</dcterms:modified>
</cp:coreProperties>
</file>

<file path=docProps/custom.xml><?xml version="1.0" encoding="utf-8"?>
<Properties xmlns="http://schemas.openxmlformats.org/officeDocument/2006/custom-properties" xmlns:vt="http://schemas.openxmlformats.org/officeDocument/2006/docPropsVTypes"/>
</file>