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الأسفراييني
</w:t>
      </w:r>
    </w:p>
    <w:p>
      <w:pPr>
        <w:jc w:val="start"/>
        <w:bidi/>
      </w:pPr>
      <w:r>
        <w:rPr>
          <w:rFonts w:ascii="arial" w:hAnsi="arial" w:eastAsia="arial" w:cs="arial"/>
          <w:sz w:val="28"/>
          <w:szCs w:val="28"/>
          <w:b w:val="1"/>
          <w:bCs w:val="1"/>
          <w:rtl/>
        </w:rPr>
        <w:t xml:space="preserve">الأسفراييني
</w:t>
      </w:r>
    </w:p>
    <w:p>
      <w:pPr/>
      <w:r>
        <w:rPr/>
        <w:t xml:space="preserve">الأسفراييني  يعقوب بن سليمان الأسفراييني، نزيل بغداد، أبو يوسف: خازن المكتبة النظامية. من العلماء باللغة والأخبار. كان حسن الخط، مليح الشعر. له كتب، منها (بدائع الأخبار وروائع الأشعار) و (سير الخلافة) و (شرائط الخلافة) و (قلائد الحكم) من كلام علي بن أبي طالب، و (محاسن الأدب واجتناب الريب-خ). </w:t>
      </w:r>
    </w:p>
    <w:p>
      <w:pPr>
        <w:jc w:val="start"/>
        <w:bidi/>
      </w:pPr>
      <w:r>
        <w:rPr>
          <w:sz w:val="24"/>
          <w:szCs w:val="24"/>
          <w:b w:val="1"/>
          <w:bCs w:val="1"/>
          <w:rtl/>
        </w:rPr>
        <w:t xml:space="preserve">
الأعلام،(دار العلم للملايين - بيروت،2002،ط 15،ج 8،ص 198)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الخازن الشافعي
</w:t>
      </w:r>
    </w:p>
    <w:p>
      <w:pPr/>
      <w:r>
        <w:rPr/>
        <w:t xml:space="preserve">الخازن الشافعي يعقوب بن سليمان بن داود أبو يوسف الخازن الإسفرائيني’’ العراق والشام. وسكن بغداد، وتفقه على القاضي أبي الطيب الطبري. وسمع منه ومن أبي طالب محمد بن محمد بن إبراهيم بن غيلان البزاز وعلي بن أحمد بن علي الأزرق السوسي وعبد العزيز بن علي الأزجي.</w:t>
      </w:r>
    </w:p>
    <w:p/>
    <w:p>
      <w:pPr/>
      <w:r>
        <w:rPr/>
        <w:t xml:space="preserve">وحدث بكتاب السنن لأبي عبد الرحمن النسائي عن القاضي أبي نصر أحمد بن الحسين بن الكسار وبغيره.</w:t>
      </w:r>
    </w:p>
    <w:p/>
    <w:p>
      <w:pPr/>
      <w:r>
        <w:rPr/>
        <w:t xml:space="preserve">وكان خازن الكتب بالنظامية، وهو فقيه فاضل، حسن المعرفة بالأصول على مذهب الأشعري، وله معرفة بالأدب، وكان يكتب خطا جيدا.</w:t>
      </w:r>
    </w:p>
    <w:p/>
    <w:p>
      <w:pPr/>
      <w:r>
        <w:rPr/>
        <w:t xml:space="preserve">وصنف كتاب ’’المستظهري في الإمامة وشرائط الخلافة’’ وبعض السير العادلة. وأورد فيه أشياء من الفقه والأصول وسير الخلفاء، وكتاب ’’محاسن الآداب في بدائع الأخبار وروائع الأشعار’’.</w:t>
      </w:r>
    </w:p>
    <w:p/>
    <w:p>
      <w:pPr/>
      <w:r>
        <w:rPr/>
        <w:t xml:space="preserve">وتوفي سنة ثمان وثمانين وأربعمائة.</w:t>
      </w:r>
    </w:p>
    <w:p/>
    <w:p>
      <w:pPr/>
      <w:r>
        <w:rPr/>
        <w:t xml:space="preserve">ومن شعره:</w:t>
      </w:r>
    </w:p>
    <w:p/>
    <w:p>
      <w:pPr>
        <w:jc w:val="center"/>
      </w:pPr>
      <w:r>
        <w:rPr>
          <w:color w:val="ff0000"/>
        </w:rPr>
        <w:t xml:space="preserve">إن الذي قسم المعيشة في الورى</w:t>
      </w:r>
      <w:r>
        <w:rPr>
          <w:color w:val="ff0000"/>
        </w:rPr>
        <w:t xml:space="preserve">      </w:t>
      </w:r>
      <w:r>
        <w:rPr>
          <w:color w:val="ff0000"/>
        </w:rPr>
        <w:t xml:space="preserve">قد خصني بالسير في الآفاق</w:t>
      </w:r>
    </w:p>
    <w:p/>
    <w:p>
      <w:pPr>
        <w:jc w:val="center"/>
      </w:pPr>
      <w:r>
        <w:rPr>
          <w:color w:val="ff0000"/>
        </w:rPr>
        <w:t xml:space="preserve">متردد لا أستريح من العنا</w:t>
      </w:r>
      <w:r>
        <w:rPr>
          <w:color w:val="ff0000"/>
        </w:rPr>
        <w:t xml:space="preserve">      </w:t>
      </w:r>
      <w:r>
        <w:rPr>
          <w:color w:val="ff0000"/>
        </w:rPr>
        <w:t xml:space="preserve">في كل يوم أبتلى بفراق</w:t>
      </w:r>
    </w:p>
    <w:p/>
    <w:p>
      <w:pPr/>
      <w:r>
        <w:rPr/>
        <w:t xml:space="preserve">ومنه:</w:t>
      </w:r>
    </w:p>
    <w:p/>
    <w:p>
      <w:pPr>
        <w:jc w:val="center"/>
      </w:pPr>
      <w:r>
        <w:rPr>
          <w:color w:val="ff0000"/>
        </w:rPr>
        <w:t xml:space="preserve">ألم بنا وهنا فقال سلام</w:t>
      </w:r>
      <w:r>
        <w:rPr>
          <w:color w:val="ff0000"/>
        </w:rPr>
        <w:t xml:space="preserve">      </w:t>
      </w:r>
      <w:r>
        <w:rPr>
          <w:color w:val="ff0000"/>
        </w:rPr>
        <w:t xml:space="preserve">خيال لسلمى والرفاق نيام</w:t>
      </w:r>
    </w:p>
    <w:p/>
    <w:p>
      <w:pPr>
        <w:jc w:val="center"/>
      </w:pPr>
      <w:r>
        <w:rPr>
          <w:color w:val="ff0000"/>
        </w:rPr>
        <w:t xml:space="preserve">ألم وفي أجفان عيني وصارمي</w:t>
      </w:r>
      <w:r>
        <w:rPr>
          <w:color w:val="ff0000"/>
        </w:rPr>
        <w:t xml:space="preserve">      </w:t>
      </w:r>
      <w:r>
        <w:rPr>
          <w:color w:val="ff0000"/>
        </w:rPr>
        <w:t xml:space="preserve">غراران نوم غالب وحسام</w:t>
      </w:r>
    </w:p>
    <w:p/>
    <w:p>
      <w:pPr>
        <w:jc w:val="center"/>
      </w:pPr>
      <w:r>
        <w:rPr>
          <w:color w:val="ff0000"/>
        </w:rPr>
        <w:t xml:space="preserve">أجيراننا بالخيف سقاكم الحيا</w:t>
      </w:r>
      <w:r>
        <w:rPr>
          <w:color w:val="ff0000"/>
        </w:rPr>
        <w:t xml:space="preserve">      </w:t>
      </w:r>
      <w:r>
        <w:rPr>
          <w:color w:val="ff0000"/>
        </w:rPr>
        <w:t xml:space="preserve">مراضع در ما لهن فطام</w:t>
      </w:r>
    </w:p>
    <w:p/>
    <w:p>
      <w:pPr>
        <w:jc w:val="center"/>
      </w:pPr>
      <w:r>
        <w:rPr>
          <w:color w:val="ff0000"/>
        </w:rPr>
        <w:t xml:space="preserve">ظعنتم فسلمتم إلى الوجد مهجتي</w:t>
      </w:r>
      <w:r>
        <w:rPr>
          <w:color w:val="ff0000"/>
        </w:rPr>
        <w:t xml:space="preserve">      </w:t>
      </w:r>
      <w:r>
        <w:rPr>
          <w:color w:val="ff0000"/>
        </w:rPr>
        <w:t xml:space="preserve">كأن قلوب الظاعنين سلام</w:t>
      </w:r>
    </w:p>
    <w:p/>
    <w:p>
      <w:pPr>
        <w:jc w:val="start"/>
        <w:bidi/>
      </w:pPr>
      <w:r>
        <w:rPr>
          <w:sz w:val="24"/>
          <w:szCs w:val="24"/>
          <w:b w:val="1"/>
          <w:bCs w:val="1"/>
          <w:rtl/>
        </w:rPr>
        <w:t xml:space="preserve">
الوافي بالوفيات،(دار فرانز شتاينر، فيسبادن، ألمانيا / دار إحياء التراث - بيروت،2000،ط 1،ج 28،ص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يعقوب بن سليمان بن داود أبو يوسف الإسفرايني
</w:t>
      </w:r>
    </w:p>
    <w:p>
      <w:pPr/>
      <w:r>
        <w:rPr/>
        <w:t xml:space="preserve">يعقوب بن سليمان بن داود أبو يوسف الإسفرايني خازن كتب المدرسة النظامية ببغداد</w:t>
      </w:r>
    </w:p>
    <w:p>
      <w:pPr>
        <w:jc w:val="start"/>
        <w:bidi/>
      </w:pPr>
      <w:r>
        <w:rPr>
          <w:sz w:val="24"/>
          <w:szCs w:val="24"/>
          <w:b w:val="1"/>
          <w:bCs w:val="1"/>
          <w:rtl/>
        </w:rPr>
        <w:t xml:space="preserve">
طبقات الشافعية الكبرى،(دار هجر - القاهرة،1992،ط 2،ج 5،ص 718)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يعقوب بن سليمان الإسفرائيني
</w:t>
      </w:r>
    </w:p>
    <w:p>
      <w:pPr/>
      <w:r>
        <w:rPr/>
        <w:t xml:space="preserve">يعقوب بن سليمان الإسفرائيني </w:t>
      </w:r>
    </w:p>
    <w:p/>
    <w:p>
      <w:pPr/>
      <w:r>
        <w:rPr/>
        <w:t xml:space="preserve">خازن كتب النظامية، تفقه على القاضي أبي الطيب الطبري، وحدث بمسند الشامى عن أبي نصر الكسَّار، وصنف كتاب ’’المستظهرى’’ في الإمامة، و’’شرائط الخلاف’’، و’’محاسن الآداب’’، مات سنة ثمان وثمانين وأربعمائة.</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2026-10-10T12:44:04+03:00</dcterms:created>
  <dcterms:modified xsi:type="dcterms:W3CDTF">2026-10-10T12:44:04+03:00</dcterms:modified>
</cp:coreProperties>
</file>

<file path=docProps/custom.xml><?xml version="1.0" encoding="utf-8"?>
<Properties xmlns="http://schemas.openxmlformats.org/officeDocument/2006/custom-properties" xmlns:vt="http://schemas.openxmlformats.org/officeDocument/2006/docPropsVTypes"/>
</file>