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 يعقوب
</w:t>
      </w:r>
    </w:p>
    <w:p>
      <w:pPr>
        <w:jc w:val="start"/>
        <w:bidi/>
      </w:pPr>
      <w:r>
        <w:rPr>
          <w:rFonts w:ascii="arial" w:hAnsi="arial" w:eastAsia="arial" w:cs="arial"/>
          <w:sz w:val="28"/>
          <w:szCs w:val="28"/>
          <w:b w:val="1"/>
          <w:bCs w:val="1"/>
          <w:rtl/>
        </w:rPr>
        <w:t xml:space="preserve">قرا يعقوب
</w:t>
      </w:r>
    </w:p>
    <w:p>
      <w:pPr/>
      <w:r>
        <w:rPr/>
        <w:t xml:space="preserve">قرا يعقوب يعقوب بن إدريس بن عبد الله القرماني النكدي اللارندي: فاضل، من فقهاء الحنفية. يقال له قرا يعقوب. ولد بنكدة (من بلاد قرمان) وأقام بلارندة (قاعدتها) يدرس ويفتى. وحج، ودخل القاهرة. ثم عاد إلى لارندة فتوفي فيها. له (حواش) على الهداية في فقه الحنفية، وعلى البيضاوي في التفسير، و (شرح المصابيح) لم يتمه، و (إشراق التواريخ-خ) ذكر صاحب كشف الظنون أنه من تأليفه؛ وعلى مخطوطته في مكتبة الإسكندرية أنه لمحمد بن بير علي البركلي</w:t>
      </w:r>
    </w:p>
    <w:p>
      <w:pPr>
        <w:jc w:val="start"/>
        <w:bidi/>
      </w:pPr>
      <w:r>
        <w:rPr>
          <w:sz w:val="24"/>
          <w:szCs w:val="24"/>
          <w:b w:val="1"/>
          <w:bCs w:val="1"/>
          <w:rtl/>
        </w:rPr>
        <w:t xml:space="preserve">
الأعلام،(دار العلم للملايين - بيروت،2002،ط 15،ج 8،ص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2026-10-10T12:41:23+03:00</dcterms:created>
  <dcterms:modified xsi:type="dcterms:W3CDTF">2026-10-10T12:41:23+03:00</dcterms:modified>
</cp:coreProperties>
</file>

<file path=docProps/custom.xml><?xml version="1.0" encoding="utf-8"?>
<Properties xmlns="http://schemas.openxmlformats.org/officeDocument/2006/custom-properties" xmlns:vt="http://schemas.openxmlformats.org/officeDocument/2006/docPropsVTypes"/>
</file>