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اليحصبي
</w:t>
      </w:r>
    </w:p>
    <w:p>
      <w:pPr>
        <w:jc w:val="start"/>
        <w:bidi/>
      </w:pPr>
      <w:r>
        <w:rPr>
          <w:rFonts w:ascii="arial" w:hAnsi="arial" w:eastAsia="arial" w:cs="arial"/>
          <w:sz w:val="28"/>
          <w:szCs w:val="28"/>
          <w:b w:val="1"/>
          <w:bCs w:val="1"/>
          <w:rtl/>
        </w:rPr>
        <w:t xml:space="preserve">اليحصبي
</w:t>
      </w:r>
    </w:p>
    <w:p>
      <w:pPr/>
      <w:r>
        <w:rPr/>
        <w:t xml:space="preserve">اليحصبي  أحمد بن يحيى اليحصبي، أبو العباس تاج الدولة: من ملوك الطوائف بالأندلس. كان صاحب لبلة (Niebla) ونواحيها مثل ولبة (Huelva) وجبل العيون (Gibraleon) وما حولهما. وكان في لبلة أيام الفتنة التي اضمحلت على أثرها دولة بني أمية، فثار فيها، وبايعه أهلها، وتابعهم سكان أطرافها (سنة 414 هـ) وانتظم أمره، ولم يكن له في تلك الناحية معاند و لا ثار عليه ثائر. وكان محسنا ناظرا في إصلاح بلاده، فعمها الهدوء والرخاء في أيامه. ولم يكن له عقب فعهد إلى أخ له أسمه محمد. وتوفي بلبلة. </w:t>
      </w:r>
    </w:p>
    <w:p>
      <w:pPr>
        <w:jc w:val="start"/>
        <w:bidi/>
      </w:pPr>
      <w:r>
        <w:rPr>
          <w:sz w:val="24"/>
          <w:szCs w:val="24"/>
          <w:b w:val="1"/>
          <w:bCs w:val="1"/>
          <w:rtl/>
        </w:rPr>
        <w:t xml:space="preserve">
الأعلام،(دار العلم للملايين - بيروت،2002،ط 15،ج 1،ص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2026-07-29T04:17:15+03:00</dcterms:created>
  <dcterms:modified xsi:type="dcterms:W3CDTF">2026-07-29T04:17:15+03:00</dcterms:modified>
</cp:coreProperties>
</file>

<file path=docProps/custom.xml><?xml version="1.0" encoding="utf-8"?>
<Properties xmlns="http://schemas.openxmlformats.org/officeDocument/2006/custom-properties" xmlns:vt="http://schemas.openxmlformats.org/officeDocument/2006/docPropsVTypes"/>
</file>