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القاسم بن محمد المهدوي يعرف بابن البناء
</w:t>
      </w:r>
    </w:p>
    <w:p>
      <w:pPr>
        <w:jc w:val="start"/>
        <w:bidi/>
      </w:pPr>
      <w:r>
        <w:rPr>
          <w:rFonts w:ascii="arial" w:hAnsi="arial" w:eastAsia="arial" w:cs="arial"/>
          <w:sz w:val="28"/>
          <w:szCs w:val="28"/>
          <w:b w:val="1"/>
          <w:bCs w:val="1"/>
          <w:rtl/>
        </w:rPr>
        <w:t xml:space="preserve">علي بن أبي القاسم بن محمد المهدوي يعرف بابن البناء
</w:t>
      </w:r>
    </w:p>
    <w:p>
      <w:pPr/>
      <w:r>
        <w:rPr/>
        <w:t xml:space="preserve">علي بن أبي القاسم بن محمد المهدوي يعرف بابن البناء سكن مكة، أخذ عن أبي معشر الطبري المقرئ وأبي علي الطبري الشافعي وجماعة من القادمين مكة والمجاورين بها.</w:t>
      </w:r>
    </w:p>
    <w:p/>
    <w:p>
      <w:pPr/>
      <w:r>
        <w:rPr/>
        <w:t xml:space="preserve">كتب إلينا بإجازة جميع روايته من ذلك كتاب الجامع الكبير في القراءات تأليف أبي معشر اشتمل على ألف وخمسمائة وخمسين رواية وكتاب التلخيص في القراءات له أيضا، حدثني بهما عن مؤلفهما أبي معشر.</w:t>
      </w:r>
    </w:p>
    <w:p>
      <w:pPr>
        <w:jc w:val="start"/>
        <w:bidi/>
      </w:pPr>
      <w:r>
        <w:rPr>
          <w:sz w:val="24"/>
          <w:szCs w:val="24"/>
          <w:b w:val="1"/>
          <w:bCs w:val="1"/>
          <w:rtl/>
        </w:rPr>
        <w:t xml:space="preserve">
الغنية / فهرست شيوخ القاضي عياض،(دار الغرب الإسلامي،1982،ط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2026-07-28T14:17:52+03:00</dcterms:created>
  <dcterms:modified xsi:type="dcterms:W3CDTF">2026-07-28T14:17:52+03:00</dcterms:modified>
</cp:coreProperties>
</file>

<file path=docProps/custom.xml><?xml version="1.0" encoding="utf-8"?>
<Properties xmlns="http://schemas.openxmlformats.org/officeDocument/2006/custom-properties" xmlns:vt="http://schemas.openxmlformats.org/officeDocument/2006/docPropsVTypes"/>
</file>