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محمود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محمود
</w:t>
      </w:r>
    </w:p>
    <w:p>
      <w:pPr/>
      <w:r>
        <w:rPr/>
        <w:t xml:space="preserve">عبيد الله بن محمود</w:t>
      </w:r>
    </w:p>
    <w:p>
      <w:pPr/>
      <w:r>
        <w:rPr/>
        <w:t xml:space="preserve">العالم الفاضل وكان أميرا من أمراء ما وراء النهر</w:t>
      </w:r>
      <w:br/>
      <w:r>
        <w:rPr/>
        <w:t xml:space="preserve">قد صنف الفوائد الخاقانية في التفسير</w:t>
      </w:r>
      <w:br/>
      <w:r>
        <w:rPr/>
        <w:t xml:space="preserve">من أسامي الكتب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للأدنه وي،(مكتبة العلوم والحكم - المدينة المنورة،1997،ط 1،ج 1،ص 420)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2026-07-29T02:43:27+03:00</dcterms:created>
  <dcterms:modified xsi:type="dcterms:W3CDTF">2026-07-29T02:43:27+03:00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