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سعد بن محمد الحيريني ثم الحلبي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سعد بن محمد الحيريني ثم الحلبي الشافعي
</w:t>
      </w:r>
    </w:p>
    <w:p>
      <w:pPr/>
      <w:r>
        <w:rPr/>
        <w:t xml:space="preserve">علي بن محمد بن سعد بن محمد الحيريني ثم الحلبي الشافعي ولد في سنة أربع وسبعين وسبعمائة بحلب ونشأ بها فحفظ القرآن وكتبا وكان عالما في أنواع العلوم</w:t>
      </w:r>
    </w:p>
    <w:p/>
    <w:p>
      <w:pPr/>
      <w:r>
        <w:rPr/>
        <w:t xml:space="preserve">وتصانيفه عديدة مذكورة في طبقات الضوء اللامع منها</w:t>
      </w:r>
    </w:p>
    <w:p/>
    <w:p>
      <w:pPr/>
      <w:r>
        <w:rPr/>
        <w:t xml:space="preserve">الطيبة الرائحة في تفسير الفاتحة انتزعه من تفسير البغوي بزيادات وغيرها</w:t>
      </w:r>
    </w:p>
    <w:p/>
    <w:p>
      <w:pPr/>
      <w:r>
        <w:rPr/>
        <w:t xml:space="preserve">وكانت وفاته في شهر ربيع الآخر سنة ثلاث وأربعين وثمانمائة</w:t>
      </w:r>
    </w:p>
    <w:p/>
    <w:p>
      <w:pPr/>
      <w:r>
        <w:rPr/>
        <w:t xml:space="preserve">من طبقات المذكور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2026-07-28T06:25:19+03:00</dcterms:created>
  <dcterms:modified xsi:type="dcterms:W3CDTF">2026-07-28T06:25:19+03:00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