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خذاق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خذاق
</w:t>
      </w:r>
    </w:p>
    <w:p>
      <w:pPr/>
      <w:r>
        <w:rPr/>
        <w:t xml:space="preserve">يزيد بن خذاق  يزيد بن خذاق الثنى العبدى، من بنى عبد القيس: شاعر جاهلى. كان معاصرا لعمرو بن هند. من شعره أبيات أولها:</w:t>
      </w:r>
    </w:p>
    <w:p/>
    <w:p>
      <w:pPr>
        <w:jc w:val="center"/>
      </w:pPr>
      <w:r>
        <w:rPr>
          <w:color w:val="ff0000"/>
        </w:rPr>
        <w:t xml:space="preserve">هل للفتى من بنات الدهر من واق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هل له من حمام الموت من راق؟</w:t>
      </w:r>
    </w:p>
    <w:p/>
    <w:p>
      <w:pPr/>
      <w:r>
        <w:rPr/>
        <w:t xml:space="preserve">قال أبو عمرو ابن العلاء: هى أول شعر قيل فى ذم الدنيا.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2026-10-10T09:43:59+03:00</dcterms:created>
  <dcterms:modified xsi:type="dcterms:W3CDTF">2026-10-10T09:43:59+03:00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