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الهمداني أبو العز رشيد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الهمداني أبو العز رشيد الدين
</w:t>
      </w:r>
    </w:p>
    <w:p>
      <w:pPr/>
      <w:r>
        <w:rPr/>
        <w:t xml:space="preserve">محمد بن أحمد الهمداني أبو العز رشيد الدين كان عالما وفاضلا بالعلوم قد صنف كتاب الفريد في إعراب</w:t>
      </w:r>
    </w:p>
    <w:p/>
    <w:p>
      <w:pPr/>
      <w:r>
        <w:rPr/>
        <w:t xml:space="preserve">القرآن المجيد وهو مؤلف في أربعة أسفار</w:t>
      </w:r>
    </w:p>
    <w:p/>
    <w:p>
      <w:pPr/>
      <w:r>
        <w:rPr/>
        <w:t xml:space="preserve">وتوفي سنة أربعة عشر وثلاثمائة</w:t>
      </w:r>
    </w:p>
    <w:p/>
    <w:p>
      <w:pPr/>
      <w:r>
        <w:rPr/>
        <w:t xml:space="preserve">من أسامي الكتب لكاتب جلبي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2026-07-28T19:02:24+03:00</dcterms:created>
  <dcterms:modified xsi:type="dcterms:W3CDTF">2026-07-28T19:02:24+03:00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