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يربوع بن غيظ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يربوع بن غيظ
</w:t>
      </w:r>
    </w:p>
    <w:p>
      <w:pPr/>
      <w:r>
        <w:rPr/>
        <w:t xml:space="preserve">يربوع بن غيظ  يربوع بن غيظ بن مرة بن عوف، من ذبيان، من العدنانية: جد جاهلى. قال حيان بن حصين العبسى، من أبيات:</w:t>
      </w:r>
    </w:p>
    <w:p/>
    <w:p>
      <w:pPr>
        <w:jc w:val="center"/>
      </w:pPr>
      <w:r>
        <w:rPr>
          <w:color w:val="ff0000"/>
        </w:rPr>
        <w:t xml:space="preserve">سالم الله من تبرأ من غيظ 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وولى أثامها يربوعا</w:t>
      </w:r>
    </w:p>
    <w:p/>
    <w:p>
      <w:pPr/>
      <w:r>
        <w:rPr/>
        <w:t xml:space="preserve">من نسله النابغة الذبيانى (الشاعر) والحارث ابن ظالم (الفاتك) وابن ميادة (الشاعر).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2026-10-10T09:46:08+03:00</dcterms:created>
  <dcterms:modified xsi:type="dcterms:W3CDTF">2026-10-10T09:46:08+03:00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