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 طه زاده
</w:t>
      </w:r>
    </w:p>
    <w:p>
      <w:pPr>
        <w:jc w:val="start"/>
        <w:bidi/>
      </w:pPr>
      <w:r>
        <w:rPr>
          <w:rFonts w:ascii="arial" w:hAnsi="arial" w:eastAsia="arial" w:cs="arial"/>
          <w:sz w:val="28"/>
          <w:szCs w:val="28"/>
          <w:b w:val="1"/>
          <w:bCs w:val="1"/>
          <w:rtl/>
        </w:rPr>
        <w:t xml:space="preserve">يس طه زاده
</w:t>
      </w:r>
    </w:p>
    <w:p>
      <w:pPr/>
      <w:r>
        <w:rPr/>
        <w:t xml:space="preserve">يس طه زاده ابن مصطفى الشهير بطه زاده الحلبي الحنفي الشيخ العالم الفاضل البارع الأوحد أخذ عن الشيخ أسد الدين الشعيفي والشيخ سليمان النحوي والشيخ أحمد الشراباتي الحلبيين وعن السيد أحمد بن السيد عبد القادر الرفاعي المكي وغيرهم وبرع وفضل ودرس وأفاد وذكره الشيخ عبد الكريم الشراباتي في ثبته من جملة شيوخه وأثنى عليه وكانت وفاته 3</w:t>
      </w:r>
    </w:p>
    <w:p>
      <w:pPr>
        <w:jc w:val="start"/>
        <w:bidi/>
      </w:pPr>
      <w:r>
        <w:rPr>
          <w:sz w:val="24"/>
          <w:szCs w:val="24"/>
          <w:b w:val="1"/>
          <w:bCs w:val="1"/>
          <w:rtl/>
        </w:rPr>
        <w:t xml:space="preserve">
سلك الدرر في أعيان القرن الثاني عشر،(دار البشائر الإسلامية / دار ابن حزم،1988،ط 3،ج 4،ص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2026-07-27T21:50:03+03:00</dcterms:created>
  <dcterms:modified xsi:type="dcterms:W3CDTF">2026-07-27T21:50:03+03:00</dcterms:modified>
</cp:coreProperties>
</file>

<file path=docProps/custom.xml><?xml version="1.0" encoding="utf-8"?>
<Properties xmlns="http://schemas.openxmlformats.org/officeDocument/2006/custom-properties" xmlns:vt="http://schemas.openxmlformats.org/officeDocument/2006/docPropsVTypes"/>
</file>