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ذي النون
</w:t>
      </w:r>
    </w:p>
    <w:p>
      <w:pPr>
        <w:jc w:val="start"/>
        <w:bidi/>
      </w:pPr>
      <w:r>
        <w:rPr>
          <w:rFonts w:ascii="arial" w:hAnsi="arial" w:eastAsia="arial" w:cs="arial"/>
          <w:sz w:val="28"/>
          <w:szCs w:val="28"/>
          <w:b w:val="1"/>
          <w:bCs w:val="1"/>
          <w:rtl/>
        </w:rPr>
        <w:t xml:space="preserve">ابن ذي النون
</w:t>
      </w:r>
    </w:p>
    <w:p>
      <w:pPr/>
      <w:r>
        <w:rPr/>
        <w:t xml:space="preserve">ابن ذي النون  يحيى بن موسى بن ذى النون، من هوارة، من البربرة: أحد من كانت لهم إمارة فى الأندلس. أظهر الطاعة للخليفة الناصر الأموى، أول ولايته، بعد جده الأمير عبد الله بن محمد (سنة 300هـ) ثم جعل يقطع الطرق ويسلب الناس، فوجه إليه الخليفة جيشا قبض عليه وأرسله إلى قرطبة مع أهله وولده (سنة 321) وصفح عنه الناصر وأثبته فى العرفاء، فغزا معه سرقسطة (سنة325) وتوفى هناك. </w:t>
      </w:r>
    </w:p>
    <w:p>
      <w:pPr>
        <w:jc w:val="start"/>
        <w:bidi/>
      </w:pPr>
      <w:r>
        <w:rPr>
          <w:sz w:val="24"/>
          <w:szCs w:val="24"/>
          <w:b w:val="1"/>
          <w:bCs w:val="1"/>
          <w:rtl/>
        </w:rPr>
        <w:t xml:space="preserve">
الأعلام،(دار العلم للملايين - بيروت،2002،ط 15،ج 8،ص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2026-10-10T08:41:39+03:00</dcterms:created>
  <dcterms:modified xsi:type="dcterms:W3CDTF">2026-10-10T08:41:39+03:00</dcterms:modified>
</cp:coreProperties>
</file>

<file path=docProps/custom.xml><?xml version="1.0" encoding="utf-8"?>
<Properties xmlns="http://schemas.openxmlformats.org/officeDocument/2006/custom-properties" xmlns:vt="http://schemas.openxmlformats.org/officeDocument/2006/docPropsVTypes"/>
</file>