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الحبيشي
</w:t>
      </w:r>
    </w:p>
    <w:p>
      <w:pPr/>
      <w:r>
        <w:rPr/>
        <w:t xml:space="preserve">الحبيشي  يحيى بن أبى منصور بن أبى الفتح بن رافع الحرانى، أبو زكريا، جمال الدين الحبيشر، ويعرف أيضا بابن الصيرفى: فقيه حنبلى، إمام. ولد بحران. وسافر إلى الموصل وبغداد (سنة 607) ثم استقر بدمشق، وتوفى بها. قال ابن الفخر: أفتى ببغداد وحران ودمشق، وله مناقب منها قول الحق وإنكار المنكر على أى كان. وقال الذهبى: كانت له حلقة بجامع دمشق، وتخرج به جماعة. له مصنفات، منها (عقوبات الجرائم) و (نوادر المذهب) و (انتهاز الفرص فيمن أفتى بالرخص).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2026-10-10T07:43:20+03:00</dcterms:created>
  <dcterms:modified xsi:type="dcterms:W3CDTF">2026-10-10T07:43:20+03:00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