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المقرائي
</w:t>
      </w:r>
    </w:p>
    <w:p>
      <w:pPr>
        <w:jc w:val="start"/>
        <w:bidi/>
      </w:pPr>
      <w:r>
        <w:rPr>
          <w:rFonts w:ascii="arial" w:hAnsi="arial" w:eastAsia="arial" w:cs="arial"/>
          <w:sz w:val="28"/>
          <w:szCs w:val="28"/>
          <w:b w:val="1"/>
          <w:bCs w:val="1"/>
          <w:rtl/>
        </w:rPr>
        <w:t xml:space="preserve">المقرائي
</w:t>
      </w:r>
    </w:p>
    <w:p>
      <w:pPr/>
      <w:r>
        <w:rPr/>
        <w:t xml:space="preserve">المقرائي  يحيى بن محمد بن حسن بن حميد الحارثى المذحجى نسبا، الزيدى مذهبا: فقيه من العلماء، من أهل اليمن. نسبته إلى (مقرى) بالألف المقصورة (كحبلى) قرية على مرحلة من صنعاء. لقى ابن حجر الهيتمى بمكة. وأخذ عن بعض علمائها، وأخذوا عنه. له كتب، منها (مصباح الرائض فى علم الفرائض -خ) و (الشموس والأقمار -خ) فى شرح أثمار الأزهار، فقه، و (توضيح المسائل العقلية والمذاهب الفقهية -خ) و (تنقيح الفوائد وتقييد الشوارد فى تبيين المقاصد وتصحيح العقائد) و (تنقيح المصباح -خ) و (نزهة الأبصار -خ) فى أهل البيت وشيعتهم، و (تلخيص معانى مقدمة الأزهار -خ). </w:t>
      </w:r>
    </w:p>
    <w:p>
      <w:pPr>
        <w:jc w:val="start"/>
        <w:bidi/>
      </w:pPr>
      <w:r>
        <w:rPr>
          <w:sz w:val="24"/>
          <w:szCs w:val="24"/>
          <w:b w:val="1"/>
          <w:bCs w:val="1"/>
          <w:rtl/>
        </w:rPr>
        <w:t xml:space="preserve">
الأعلام،(دار العلم للملايين - بيروت،2002،ط 15،ج 8،ص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2026-10-10T07:45:13+03:00</dcterms:created>
  <dcterms:modified xsi:type="dcterms:W3CDTF">2026-10-10T07:45:13+03:00</dcterms:modified>
</cp:coreProperties>
</file>

<file path=docProps/custom.xml><?xml version="1.0" encoding="utf-8"?>
<Properties xmlns="http://schemas.openxmlformats.org/officeDocument/2006/custom-properties" xmlns:vt="http://schemas.openxmlformats.org/officeDocument/2006/docPropsVTypes"/>
</file>