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القباني
</w:t>
      </w:r>
    </w:p>
    <w:p>
      <w:pPr>
        <w:jc w:val="start"/>
        <w:bidi/>
      </w:pPr>
      <w:r>
        <w:rPr>
          <w:rFonts w:ascii="arial" w:hAnsi="arial" w:eastAsia="arial" w:cs="arial"/>
          <w:sz w:val="28"/>
          <w:szCs w:val="28"/>
          <w:b w:val="1"/>
          <w:bCs w:val="1"/>
          <w:rtl/>
        </w:rPr>
        <w:t xml:space="preserve">القباني
</w:t>
      </w:r>
    </w:p>
    <w:p>
      <w:pPr/>
      <w:r>
        <w:rPr/>
        <w:t xml:space="preserve">القباني  يحيى بن محمد ين سعيد بن فلاح، شرف الدين العبسى القاهرى، المعروف بالقبانى: فاضل شافعى. من أهل القاهرة. له (بشرى الأنام) فى السيرة النبوية، و (بغية السول فى مدح الرسول) و (أصول قراءة أبى عمرو) و (فتح المنعم على مسلم) حديث، و (الابتهاج على المنهاج) فقه؛ والأخيران لم يكملهما. وعرض له قبيل موته وسواس حتى أشرف على الجنون. ورآه السخاوى سنة 894 وسمع شيئا من نظمه، فقال: نظمه ركيك وفهمه بطئ. قلت: لعل ذلك كان فى ابتداء وسواسة. </w:t>
      </w:r>
    </w:p>
    <w:p>
      <w:pPr>
        <w:jc w:val="start"/>
        <w:bidi/>
      </w:pPr>
      <w:r>
        <w:rPr>
          <w:sz w:val="24"/>
          <w:szCs w:val="24"/>
          <w:b w:val="1"/>
          <w:bCs w:val="1"/>
          <w:rtl/>
        </w:rPr>
        <w:t xml:space="preserve">
الأعلام،(دار العلم للملايين - بيروت،2002،ط 15،ج 8،ص 168)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محمد بن سعيد بن فلاح بن عمر الشرف العبسي القاهري الشافعي المعروف بالقباني
</w:t>
      </w:r>
    </w:p>
    <w:p>
      <w:pPr/>
      <w:r>
        <w:rPr/>
        <w:t xml:space="preserve">يحيى بن محمد بن سعيد بن فلاح بن عمر الشرف العبسي القاهري الشافعي المعروف بالقباني </w:t>
      </w:r>
    </w:p>
    <w:p/>
    <w:p>
      <w:pPr/>
      <w:r>
        <w:rPr/>
        <w:t xml:space="preserve">ولد في جمادى الآخرة سنة 827 سبع وعشرين وثمان مائة بالقاهرة فحفظ القرآن ومختصرات كثيرة وتلا بالسبع على جماعة وأخذ عن آخرين كالحافظ بن حجر والمناوي والعلم البلقيني وابن الهمام والجلال المحلى وطلب الحديث بنفسه وتردد إلى الشيوخ كالرشيدى والصالحى وحج وجاور وأخذ عن المراغي والتقي بن فهد وله مصنفات منها بشرى الأنام بسيرة خير الأنام وبغبة السؤول في مدح الرسول والكواكب المضية في مدح خير البرية والمجموع الحسن من الخلق الحسن وفتح المنعم على مسلم والابتهاج على المنهاج وغير ذلك وعرض له وسواس حتى قرب من حد الجنون وزاد ذلك حتى تضعضع حاله حتى مات في ذي الحجة سنة 900 تسعمائة</w:t>
      </w:r>
    </w:p>
    <w:p>
      <w:pPr>
        <w:jc w:val="start"/>
        <w:bidi/>
      </w:pPr>
      <w:r>
        <w:rPr>
          <w:sz w:val="24"/>
          <w:szCs w:val="24"/>
          <w:b w:val="1"/>
          <w:bCs w:val="1"/>
          <w:rtl/>
        </w:rPr>
        <w:t xml:space="preserve">
البدر الطالع بمحاسن من بعد القرن السابع،(دار المعرفة - بيروت،0،ط 1،ج 2،ص 342)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2026-07-29T06:04:51+03:00</dcterms:created>
  <dcterms:modified xsi:type="dcterms:W3CDTF">2026-07-29T06:04:51+03:00</dcterms:modified>
</cp:coreProperties>
</file>

<file path=docProps/custom.xml><?xml version="1.0" encoding="utf-8"?>
<Properties xmlns="http://schemas.openxmlformats.org/officeDocument/2006/custom-properties" xmlns:vt="http://schemas.openxmlformats.org/officeDocument/2006/docPropsVTypes"/>
</file>