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المنصور ابن الأفطس
</w:t>
      </w:r>
    </w:p>
    <w:p>
      <w:pPr>
        <w:jc w:val="start"/>
        <w:bidi/>
      </w:pPr>
      <w:r>
        <w:rPr>
          <w:rFonts w:ascii="arial" w:hAnsi="arial" w:eastAsia="arial" w:cs="arial"/>
          <w:sz w:val="28"/>
          <w:szCs w:val="28"/>
          <w:b w:val="1"/>
          <w:bCs w:val="1"/>
          <w:rtl/>
        </w:rPr>
        <w:t xml:space="preserve">المنصور ابن الأفطس
</w:t>
      </w:r>
    </w:p>
    <w:p>
      <w:pPr/>
      <w:r>
        <w:rPr/>
        <w:t xml:space="preserve">المنصور ابن الأفطس  يحيى بن محمد بن عبد الله، ابن مسلمة التجيبى: من ملوك بنى الأفطس، أصحاب (بطليوس) فى الأندلس. ولى بعد وفاة أبيه (المظفر) وتلقب بالمنصور (سنة 460هـ) وكان أخوه (عمر) الملقب بالمتوكل، عاملا لأبيه فى يابرة (Evora) فاستقبل بها، وانقسمت الدولة قسمين، أحدهما العاصمة (بطليوس) وما حولها من الإمارات الشرقية، فى يد صاحب الترجمة؛ والثانى (يابرة) والإمارات الغربية، فى يد أخيه عمر. واستمر يحيى على ذلك إلى أن توفى. </w:t>
      </w:r>
    </w:p>
    <w:p>
      <w:pPr>
        <w:jc w:val="start"/>
        <w:bidi/>
      </w:pPr>
      <w:r>
        <w:rPr>
          <w:sz w:val="24"/>
          <w:szCs w:val="24"/>
          <w:b w:val="1"/>
          <w:bCs w:val="1"/>
          <w:rtl/>
        </w:rPr>
        <w:t xml:space="preserve">
الأعلام،(دار العلم للملايين - بيروت،2002،ط 15،ج 8،ص 164)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2026-10-10T06:58:45+03:00</dcterms:created>
  <dcterms:modified xsi:type="dcterms:W3CDTF">2026-10-10T06:58:45+03:00</dcterms:modified>
</cp:coreProperties>
</file>

<file path=docProps/custom.xml><?xml version="1.0" encoding="utf-8"?>
<Properties xmlns="http://schemas.openxmlformats.org/officeDocument/2006/custom-properties" xmlns:vt="http://schemas.openxmlformats.org/officeDocument/2006/docPropsVTypes"/>
</file>