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التبريزي
</w:t>
      </w:r>
    </w:p>
    <w:p>
      <w:pPr>
        <w:jc w:val="start"/>
        <w:bidi/>
      </w:pPr>
      <w:r>
        <w:rPr>
          <w:rFonts w:ascii="arial" w:hAnsi="arial" w:eastAsia="arial" w:cs="arial"/>
          <w:sz w:val="28"/>
          <w:szCs w:val="28"/>
          <w:b w:val="1"/>
          <w:bCs w:val="1"/>
          <w:rtl/>
        </w:rPr>
        <w:t xml:space="preserve">الخطيب التبريزي
</w:t>
      </w:r>
    </w:p>
    <w:p>
      <w:pPr/>
      <w:r>
        <w:rPr/>
        <w:t xml:space="preserve">الخطيب التبريزي  يحيى بن علي بن محمد الشيباني التبريزي، أبو زكريا: من أئمة اللغة والأدب. أصله من تبريز. نشأ ببغداد ورحل إلى بلاد الشام، فقرأ (تهذيب اللغة) للأزهري، على أبي العلاء المعري، قيل: أتاه يحمل نسخة (التهذيب) في مخلاة، على ظهره ؛ وقد بللها عرقه حتى يظن أنها غريقة! ودخل مصر. ثم عاد إلى بغداد، فقام على خزانة الكتب في المدرسة النظامية إلى أن توفي. من كتبه (شرح ديوان الحماسة لأبي تمام –ط) أربعة أجزاء، و (تهذيب إصلاح المنطق لابن السكيت –ط) و (تهذيب الألفاظ لابن السكيت –ط) و (شرح سقط الزند للمعري –ط) و (شرح اختيارات المفضل الضبي –خ) بخطه، من نفائس دار الكتب العامة بتونس (رقم 531 م) و (الوافي في العروض والقوافي –خ) و (شرح القصائد العشر –ط) و (الملخص في إعراب القرآن – خ) و (شرح المشكل من ديوان أبي تمام –ط) كجلدان منه، و (شرح شعر المتنبي) و (شرح اللمع لابن جني) و (شرح المقصورة الدريدرية –خ) و (مقاتل الفرسان). </w:t>
      </w:r>
    </w:p>
    <w:p>
      <w:pPr>
        <w:jc w:val="start"/>
        <w:bidi/>
      </w:pPr>
      <w:r>
        <w:rPr>
          <w:sz w:val="24"/>
          <w:szCs w:val="24"/>
          <w:b w:val="1"/>
          <w:bCs w:val="1"/>
          <w:rtl/>
        </w:rPr>
        <w:t xml:space="preserve">
الأعلام،(دار العلم للملايين - بيروت،2002،ط 15،ج 8،ص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الخطيب التبريزي الأديب
</w:t>
      </w:r>
    </w:p>
    <w:p>
      <w:pPr/>
      <w:r>
        <w:rPr/>
        <w:t xml:space="preserve">الخطيب التبريزي الأديب اسمه يحيى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الخطيب التبريزي
</w:t>
      </w:r>
    </w:p>
    <w:p>
      <w:pPr/>
      <w:r>
        <w:rPr/>
        <w:t xml:space="preserve">الخطيب التبريزي </w:t>
      </w:r>
    </w:p>
    <w:p/>
    <w:p>
      <w:pPr/>
      <w:r>
        <w:rPr/>
        <w:t xml:space="preserve">وأما أبو زكرياء يحيى بن علي بن محمد بن الحسن بن بسطام الشيباني الخطيب التبريزي، فإنه كان أحد أئمة اللغة والنحو. أخذ عن أبي العلاء المعري وأبي القاسم عبيد الله بن علي الرقي وأبي محمد الدهان اللغوي. ودرس الأدب بالمدرسة النظامية ببغداد.</w:t>
      </w:r>
    </w:p>
    <w:p/>
    <w:p>
      <w:pPr/>
      <w:r>
        <w:rPr/>
        <w:t xml:space="preserve">وصنف تصانيف جمة، فمنها كتاب غريب القرآن، وكتاب مقاتل الفرسان، وكتاب الكافي في علمي العروض والقوافي، وشرح اللمع لابن جني، وشرح الحماسة، وديوان المتنبي والمفضليات، والسبع الطوال، والمقصورة لابن دريد، وسقط الزند للمعري، إلى غير ذلك من التصانيف.</w:t>
      </w:r>
    </w:p>
    <w:p/>
    <w:p>
      <w:pPr/>
      <w:r>
        <w:rPr/>
        <w:t xml:space="preserve">وأخذ عنه جماعة، كشيخنا أبي منصور موهوب بن أحمد بن الخضر الجواليقي وأبي الحسن سعد محمد بن سهل الأنصاري وأبي الفضل بن ناصر وغيرهم. وسمعنا أنه كان غير مرضي الطريقة. والله أعلم.</w:t>
      </w:r>
    </w:p>
    <w:p/>
    <w:p>
      <w:pPr/>
      <w:r>
        <w:rPr/>
        <w:t xml:space="preserve">وحكى ابن السمعاني عن أبي الفضل بن ناصر، أنه كان ثقة في اللغة وفيما ينقله.</w:t>
      </w:r>
    </w:p>
    <w:p/>
    <w:p>
      <w:pPr/>
      <w:r>
        <w:rPr/>
        <w:t xml:space="preserve">وحكى أبو زكرياء عن أبي الجوائز الحسن بن علي الواسطي، عن أبي الحسن المخلدي الأديب وغيره، أن المتنبي كان بواسط جالساً؛ وعنده ابنه محسد قائماً، وجماعة يقرؤون عليه، فورد إليه بعض الناس، فقال له، أريد أن يجيز لنا هذا البيت، وهو:</w:t>
      </w:r>
    </w:p>
    <w:p/>
    <w:p>
      <w:pPr>
        <w:jc w:val="center"/>
      </w:pPr>
      <w:r>
        <w:rPr>
          <w:color w:val="ff0000"/>
        </w:rPr>
        <w:t xml:space="preserve">زارنا في الظلام يطلب سراً</w:t>
      </w:r>
      <w:r>
        <w:rPr>
          <w:color w:val="ff0000"/>
        </w:rPr>
        <w:t xml:space="preserve">      </w:t>
      </w:r>
      <w:r>
        <w:rPr>
          <w:color w:val="ff0000"/>
        </w:rPr>
        <w:t xml:space="preserve">فافتضحنا بنوره في الظلام</w:t>
      </w:r>
    </w:p>
    <w:p/>
    <w:p>
      <w:pPr/>
      <w:r>
        <w:rPr/>
        <w:t xml:space="preserve">فرفع رأسه، وقال: يا محسد، قد جاءك بالشمال فأته باليمين، فقال:</w:t>
      </w:r>
    </w:p>
    <w:p/>
    <w:p>
      <w:pPr>
        <w:jc w:val="center"/>
      </w:pPr>
      <w:r>
        <w:rPr>
          <w:color w:val="ff0000"/>
        </w:rPr>
        <w:t xml:space="preserve">فالتجأنا إلى حنادس شعر</w:t>
      </w:r>
      <w:r>
        <w:rPr>
          <w:color w:val="ff0000"/>
        </w:rPr>
        <w:t xml:space="preserve">      </w:t>
      </w:r>
      <w:r>
        <w:rPr>
          <w:color w:val="ff0000"/>
        </w:rPr>
        <w:t xml:space="preserve">سترتنا عن أعين اللُّوَّام</w:t>
      </w:r>
    </w:p>
    <w:p/>
    <w:p>
      <w:pPr/>
      <w:r>
        <w:rPr/>
        <w:t xml:space="preserve">قال أبو الجوائز: معنى قول المتنبي لولده: قد جاءك بالشمال فأته باليمين أن اليسرى لا يتم بها عمل، وباليمنى تتم الأعمال، فأراد أن المعنى يحتمل زيادة فأوردها. وقد ألطف المتنبي في الإشارة، وأحسن ولده في الأخذ.</w:t>
      </w:r>
    </w:p>
    <w:p/>
    <w:p>
      <w:pPr/>
      <w:r>
        <w:rPr/>
        <w:t xml:space="preserve">وحكى أيضاً أبو زكرياء، عن أبي الجوائز الواسطي، عن أبي الحسن بن أذين البصير النحوي، قال: حضرت مع والدي مجلس كافور الإخشيدي، فدخل إليه رجل، فقال في دعائه: أدام الله ’’أيام’’، سيدنا بكسر ميم ’’أيام’’، ففطن لذلك جماعة من الحاضرين، أحدهما صاحب المجلس حتى حين شاع ذلك، فقام رجل من أوسط الناس، وأنشأ يقول:</w:t>
      </w:r>
    </w:p>
    <w:p/>
    <w:p>
      <w:pPr>
        <w:jc w:val="center"/>
      </w:pPr>
      <w:r>
        <w:rPr>
          <w:color w:val="ff0000"/>
        </w:rPr>
        <w:t xml:space="preserve">لا غرو أن لحن الداعي لسيدنا</w:t>
      </w:r>
      <w:r>
        <w:rPr>
          <w:color w:val="ff0000"/>
        </w:rPr>
        <w:t xml:space="preserve">      </w:t>
      </w:r>
      <w:r>
        <w:rPr>
          <w:color w:val="ff0000"/>
        </w:rPr>
        <w:t xml:space="preserve">أو غص بالريق أو بهر</w:t>
      </w:r>
    </w:p>
    <w:p/>
    <w:p>
      <w:pPr>
        <w:jc w:val="center"/>
      </w:pPr>
      <w:r>
        <w:rPr>
          <w:color w:val="ff0000"/>
        </w:rPr>
        <w:t xml:space="preserve">فتلك هيبته حالت جلالتها</w:t>
      </w:r>
      <w:r>
        <w:rPr>
          <w:color w:val="ff0000"/>
        </w:rPr>
        <w:t xml:space="preserve">      </w:t>
      </w:r>
      <w:r>
        <w:rPr>
          <w:color w:val="ff0000"/>
        </w:rPr>
        <w:t xml:space="preserve">بين الأديب وبين الفتح بالحصر</w:t>
      </w:r>
    </w:p>
    <w:p/>
    <w:p>
      <w:pPr>
        <w:jc w:val="center"/>
      </w:pPr>
      <w:r>
        <w:rPr>
          <w:color w:val="ff0000"/>
        </w:rPr>
        <w:t xml:space="preserve">وإن يكن خفض الأيام عن غلط</w:t>
      </w:r>
      <w:r>
        <w:rPr>
          <w:color w:val="ff0000"/>
        </w:rPr>
        <w:t xml:space="preserve">      </w:t>
      </w:r>
      <w:r>
        <w:rPr>
          <w:color w:val="ff0000"/>
        </w:rPr>
        <w:t xml:space="preserve">في موضع النصب، لا عن قلة النظر</w:t>
      </w:r>
    </w:p>
    <w:p/>
    <w:p>
      <w:pPr>
        <w:jc w:val="center"/>
      </w:pPr>
      <w:r>
        <w:rPr>
          <w:color w:val="ff0000"/>
        </w:rPr>
        <w:t xml:space="preserve">فقد تفاءلت من هذا لسيدنا</w:t>
      </w:r>
      <w:r>
        <w:rPr>
          <w:color w:val="ff0000"/>
        </w:rPr>
        <w:t xml:space="preserve">      </w:t>
      </w:r>
      <w:r>
        <w:rPr>
          <w:color w:val="ff0000"/>
        </w:rPr>
        <w:t xml:space="preserve">والفأل مأثور عن سيد البشر</w:t>
      </w:r>
    </w:p>
    <w:p/>
    <w:p>
      <w:pPr>
        <w:jc w:val="center"/>
      </w:pPr>
      <w:r>
        <w:rPr>
          <w:color w:val="ff0000"/>
        </w:rPr>
        <w:t xml:space="preserve">بأن أيامه خفض بلا نصب</w:t>
      </w:r>
      <w:r>
        <w:rPr>
          <w:color w:val="ff0000"/>
        </w:rPr>
        <w:t xml:space="preserve">      </w:t>
      </w:r>
      <w:r>
        <w:rPr>
          <w:color w:val="ff0000"/>
        </w:rPr>
        <w:t xml:space="preserve">وأن أوقاته صفوٌ بلا كدر</w:t>
      </w:r>
    </w:p>
    <w:p/>
    <w:p>
      <w:pPr/>
      <w:r>
        <w:rPr/>
        <w:t xml:space="preserve">وأخبرنا أبن ناصر إجازة عن أبي زكرياء لنفسه:</w:t>
      </w:r>
    </w:p>
    <w:p/>
    <w:p>
      <w:pPr>
        <w:jc w:val="center"/>
      </w:pPr>
      <w:r>
        <w:rPr>
          <w:color w:val="ff0000"/>
        </w:rPr>
        <w:t xml:space="preserve">فمن يسأم من الأسفار يوماً</w:t>
      </w:r>
      <w:r>
        <w:rPr>
          <w:color w:val="ff0000"/>
        </w:rPr>
        <w:t xml:space="preserve">      </w:t>
      </w:r>
      <w:r>
        <w:rPr>
          <w:color w:val="ff0000"/>
        </w:rPr>
        <w:t xml:space="preserve">فإني قد سئمت من المقام</w:t>
      </w:r>
    </w:p>
    <w:p/>
    <w:p>
      <w:pPr>
        <w:jc w:val="center"/>
      </w:pPr>
      <w:r>
        <w:rPr>
          <w:color w:val="ff0000"/>
        </w:rPr>
        <w:t xml:space="preserve">أفمنا بالعراق على رجال</w:t>
      </w:r>
      <w:r>
        <w:rPr>
          <w:color w:val="ff0000"/>
        </w:rPr>
        <w:t xml:space="preserve">      </w:t>
      </w:r>
      <w:r>
        <w:rPr>
          <w:color w:val="ff0000"/>
        </w:rPr>
        <w:t xml:space="preserve">لئام ينتمون إلى لئام</w:t>
      </w:r>
    </w:p>
    <w:p/>
    <w:p>
      <w:pPr/>
      <w:r>
        <w:rPr/>
        <w:t xml:space="preserve">وتوفي في جمادى الآخرة سنة اثنتين وخمسمائة، في خلافة أبي العباس أحمد المستظهر بأمر الله تعالى، ودفن بمقبرة باب أبرز.</w:t>
      </w:r>
    </w:p>
    <w:p>
      <w:pPr>
        <w:jc w:val="start"/>
        <w:bidi/>
      </w:pPr>
      <w:r>
        <w:rPr>
          <w:sz w:val="24"/>
          <w:szCs w:val="24"/>
          <w:b w:val="1"/>
          <w:bCs w:val="1"/>
          <w:rtl/>
        </w:rPr>
        <w:t xml:space="preserve">
نزهة الألباء في طبقات الأدباء،(مكتبة المنار، الزرقاء - الأردن،1985،ط 3،ج 1،ص 270)/(دار الفكر العربي،1998،ط 1،ج 1،ص 321)/(مطبعة المعارف - بغداد،1959،ط 1،ج 1،ص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2026-10-10T05:59:26+03:00</dcterms:created>
  <dcterms:modified xsi:type="dcterms:W3CDTF">2026-10-10T05:59:26+03:00</dcterms:modified>
</cp:coreProperties>
</file>

<file path=docProps/custom.xml><?xml version="1.0" encoding="utf-8"?>
<Properties xmlns="http://schemas.openxmlformats.org/officeDocument/2006/custom-properties" xmlns:vt="http://schemas.openxmlformats.org/officeDocument/2006/docPropsVTypes"/>
</file>