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الذباح الحنبلي
</w:t>
      </w:r>
    </w:p>
    <w:p>
      <w:pPr>
        <w:jc w:val="start"/>
        <w:bidi/>
      </w:pPr>
      <w:r>
        <w:rPr>
          <w:rFonts w:ascii="arial" w:hAnsi="arial" w:eastAsia="arial" w:cs="arial"/>
          <w:sz w:val="28"/>
          <w:szCs w:val="28"/>
          <w:b w:val="1"/>
          <w:bCs w:val="1"/>
          <w:rtl/>
        </w:rPr>
        <w:t xml:space="preserve">أبو بكر بن الذباح الحنبلي
</w:t>
      </w:r>
    </w:p>
    <w:p>
      <w:pPr/>
      <w:r>
        <w:rPr/>
        <w:t xml:space="preserve">أبو بكر بن الذباح الحنبلي أبو بكر بن إبراهيم، ابن الشيخ محمد المهلل الشيخ العالم الصالح تقي الدين المعروف بابن الذباح، وربما قيل ذباح الحمير، وشهرته أيضا لا سيما ببلاد اليمن بابن الحكيم المقدسي الأصل، ثم الصالحي الدمشقي الحنبلي، مولده باليمن سنة تسع بتقديم المثناة وتسعمئة وقرأ على شيخ الإسلام الوالد جانبا من صحيح مسلم، وشيئا من تفسير البيضاوي، وعرض عليه أماكن من الخرقى، وسمع كثيرا من دروسه وكتب من مناظيمه أشياء، وكان يكتب كتب الصوفية. كتب كفاية المعتقد لليافعي، والفتوحات وغيرها لابن العربي، وكان يعتني بكلامه كثيرا، وكان الناس يترددون إليه لكتابة الحروز وغيرها. توفي في تاسع عشر رمضان سنة خمس وثمانين وتسعمئة ودفن بتربة مسجد القدم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2026-07-28T07:41:56+03:00</dcterms:created>
  <dcterms:modified xsi:type="dcterms:W3CDTF">2026-07-28T07:41:56+03:00</dcterms:modified>
</cp:coreProperties>
</file>

<file path=docProps/custom.xml><?xml version="1.0" encoding="utf-8"?>
<Properties xmlns="http://schemas.openxmlformats.org/officeDocument/2006/custom-properties" xmlns:vt="http://schemas.openxmlformats.org/officeDocument/2006/docPropsVTypes"/>
</file>