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حمزة بن قيما
</w:t>
      </w:r>
    </w:p>
    <w:p>
      <w:pPr>
        <w:jc w:val="start"/>
        <w:bidi/>
      </w:pPr>
      <w:r>
        <w:rPr>
          <w:rFonts w:ascii="arial" w:hAnsi="arial" w:eastAsia="arial" w:cs="arial"/>
          <w:sz w:val="28"/>
          <w:szCs w:val="28"/>
          <w:b w:val="1"/>
          <w:bCs w:val="1"/>
          <w:rtl/>
        </w:rPr>
        <w:t xml:space="preserve">أحمد بن حمزة بن قيما
</w:t>
      </w:r>
    </w:p>
    <w:p>
      <w:pPr/>
      <w:r>
        <w:rPr/>
        <w:t xml:space="preserve">أحمد بن حمزة بن قيما أحمد بن حمزة الشيخ المعمر شهاب الدين القلعي الحلبي الحنفي، ثم الشافعي، المشهور بابن قيما، اعتنى بالقراءات، وتزوج بابنة الشيخ نور الدين محمود البكري الشافعي خطيب المقام، فانتقل إلى مذهبه، فصار شافعيا بعد أن كان حنفيا هو وأبوه، وقرأ عليه بحلب القرآن لأبي عمرو، وأخذ أيضا بالقاهرة عن النشار المقريء صاحب التآليف المشهورة. وتوفي بحلب في أول ذي الحجة سنة خمسين وتسعمئة.</w:t>
      </w:r>
    </w:p>
    <w:p>
      <w:pPr>
        <w:jc w:val="start"/>
        <w:bidi/>
      </w:pPr>
      <w:r>
        <w:rPr>
          <w:sz w:val="24"/>
          <w:szCs w:val="24"/>
          <w:b w:val="1"/>
          <w:bCs w:val="1"/>
          <w:rtl/>
        </w:rPr>
        <w:t xml:space="preserve">
الكواكب السائرة بأعيان المئة العاشرة،(دار الكتب العلمية - بيروت،1977،ط 1،ج 2،ص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2026-07-28T23:44:46+03:00</dcterms:created>
  <dcterms:modified xsi:type="dcterms:W3CDTF">2026-07-28T23:44:46+03:00</dcterms:modified>
</cp:coreProperties>
</file>

<file path=docProps/custom.xml><?xml version="1.0" encoding="utf-8"?>
<Properties xmlns="http://schemas.openxmlformats.org/officeDocument/2006/custom-properties" xmlns:vt="http://schemas.openxmlformats.org/officeDocument/2006/docPropsVTypes"/>
</file>