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محمد القاري
</w:t>
      </w:r>
    </w:p>
    <w:p>
      <w:pPr>
        <w:jc w:val="start"/>
        <w:bidi/>
      </w:pPr>
      <w:r>
        <w:rPr>
          <w:rFonts w:ascii="arial" w:hAnsi="arial" w:eastAsia="arial" w:cs="arial"/>
          <w:sz w:val="28"/>
          <w:szCs w:val="28"/>
          <w:b w:val="1"/>
          <w:bCs w:val="1"/>
          <w:rtl/>
        </w:rPr>
        <w:t xml:space="preserve">أبو بكر بن محمد القاري
</w:t>
      </w:r>
    </w:p>
    <w:p>
      <w:pPr/>
      <w:r>
        <w:rPr/>
        <w:t xml:space="preserve">أبو بكر بن محمد القاري أبو بكر بن محمد بن يوسف، الشيخ الإمام العلامة المحقق، المدقق، الفهامة، شيخ الإسلام الشيخ تقي الدين القارئ، ثم الدمشقي، الشافعي. أخذ عن البرهان ابن أبي شريف، والقاضي زكريا وغيرهما من علماء مصر، وبالشام عن الحافظ برهان الدين الناجي وغيره، وتفقه على شيخ الإسلام تقي الدين ابن قاضي عجلون، وابن أخته السيد كمال الدين بن حمزة، والشيخ تقي الدين البلاطنسي المتقدم قبله، وكان يترجمه ويثني عليه، ويقول: هو أعلم جماعتنا الآن. ولي إمامة المقصورة بالأموي شريكا للقاضي شهاب الدين الرملي، ثم لولده الشيخ أبي الفضل، ثم لشيخ الإسلام والدي، وولي نظر الحرمين وغيره، وولي تدريس الشامية البرانية آخرا، ولزم المشهد الشرقي مدة يسيرة، واخترمته المنية بالجامع الأموي بعد شيخه شيخ الإسلام التقوي ابن قاضي عجلون، وردت المشكلات إليه، وعكفت الطلبة عليه، وكان ممن أخذ عنه شيخ الإسلام شهاب الدين الطيبي، والشيخ العلامة علاء الدين بن عماد الدين، وتزوج بنت مفتي الحنفية الشيخ قطب الدين ابن سلطان الحنفي، ورزق منها ابنا. مات بعده بمدة يسيرة، وكان محققا مدققا واقفا مع المنقول، عالما بالنحو والقراءات والفقه والأصول. نظم أرجوزة لطيفة في عقيدة أهل السنة، وله شعر حسن منه في عدد حروف الفاتحة:</w:t>
      </w:r>
    </w:p>
    <w:p/>
    <w:p>
      <w:pPr>
        <w:jc w:val="center"/>
      </w:pPr>
      <w:r>
        <w:rPr>
          <w:color w:val="ff0000"/>
        </w:rPr>
        <w:t xml:space="preserve">وعدد الحروف للفاتحة</w:t>
      </w:r>
      <w:r>
        <w:rPr>
          <w:color w:val="ff0000"/>
        </w:rPr>
        <w:t xml:space="preserve">      </w:t>
      </w:r>
      <w:r>
        <w:rPr>
          <w:color w:val="ff0000"/>
        </w:rPr>
        <w:t xml:space="preserve">عشرون مع أربعة ومئة</w:t>
      </w:r>
    </w:p>
    <w:p/>
    <w:p>
      <w:pPr>
        <w:jc w:val="center"/>
      </w:pPr>
      <w:r>
        <w:rPr>
          <w:color w:val="ff0000"/>
        </w:rPr>
        <w:t xml:space="preserve">وعدد الشدات فيها أربع وعشـ</w:t>
      </w:r>
      <w:r>
        <w:rPr>
          <w:color w:val="ff0000"/>
        </w:rPr>
        <w:t xml:space="preserve">      </w:t>
      </w:r>
      <w:r>
        <w:rPr>
          <w:color w:val="ff0000"/>
        </w:rPr>
        <w:t xml:space="preserve">ـر شدات عليها أجمعوا</w:t>
      </w:r>
    </w:p>
    <w:p/>
    <w:p>
      <w:pPr>
        <w:jc w:val="center"/>
      </w:pPr>
      <w:r>
        <w:rPr>
          <w:color w:val="ff0000"/>
        </w:rPr>
        <w:t xml:space="preserve">ولم أعد همزات الوصل</w:t>
      </w:r>
      <w:r>
        <w:rPr>
          <w:color w:val="ff0000"/>
        </w:rPr>
        <w:t xml:space="preserve">      </w:t>
      </w:r>
      <w:r>
        <w:rPr>
          <w:color w:val="ff0000"/>
        </w:rPr>
        <w:t xml:space="preserve">وكل حرف ساقط في الأصل</w:t>
      </w:r>
    </w:p>
    <w:p/>
    <w:p>
      <w:pPr>
        <w:jc w:val="center"/>
      </w:pPr>
      <w:r>
        <w:rPr>
          <w:color w:val="ff0000"/>
        </w:rPr>
        <w:t xml:space="preserve">لساكن فالمتصل لا يجب</w:t>
      </w:r>
      <w:r>
        <w:rPr>
          <w:color w:val="ff0000"/>
        </w:rPr>
        <w:t xml:space="preserve">      </w:t>
      </w:r>
      <w:r>
        <w:rPr>
          <w:color w:val="ff0000"/>
        </w:rPr>
        <w:t xml:space="preserve">عليه نطق بجميع الكتب</w:t>
      </w:r>
    </w:p>
    <w:p/>
    <w:p>
      <w:pPr>
        <w:jc w:val="center"/>
      </w:pPr>
      <w:r>
        <w:rPr>
          <w:color w:val="ff0000"/>
        </w:rPr>
        <w:t xml:space="preserve">وزدت فيه ألفات أربعا</w:t>
      </w:r>
      <w:r>
        <w:rPr>
          <w:color w:val="ff0000"/>
        </w:rPr>
        <w:t xml:space="preserve">      </w:t>
      </w:r>
      <w:r>
        <w:rPr>
          <w:color w:val="ff0000"/>
        </w:rPr>
        <w:t xml:space="preserve">إذ يجب النطق بهن جمعا</w:t>
      </w:r>
    </w:p>
    <w:p/>
    <w:p>
      <w:pPr>
        <w:jc w:val="center"/>
      </w:pPr>
      <w:r>
        <w:rPr>
          <w:color w:val="ff0000"/>
        </w:rPr>
        <w:t xml:space="preserve">وكل حرف مدغم أسقطته</w:t>
      </w:r>
      <w:r>
        <w:rPr>
          <w:color w:val="ff0000"/>
        </w:rPr>
        <w:t xml:space="preserve">      </w:t>
      </w:r>
      <w:r>
        <w:rPr>
          <w:color w:val="ff0000"/>
        </w:rPr>
        <w:t xml:space="preserve">كيف وفي التشديد قد ذكرته</w:t>
      </w:r>
    </w:p>
    <w:p/>
    <w:p>
      <w:pPr>
        <w:jc w:val="center"/>
      </w:pPr>
      <w:r>
        <w:rPr>
          <w:color w:val="ff0000"/>
        </w:rPr>
        <w:t xml:space="preserve">وذا الذي ذكرت في الكل جلي</w:t>
      </w:r>
      <w:r>
        <w:rPr>
          <w:color w:val="ff0000"/>
        </w:rPr>
        <w:t xml:space="preserve">      </w:t>
      </w:r>
      <w:r>
        <w:rPr>
          <w:color w:val="ff0000"/>
        </w:rPr>
        <w:t xml:space="preserve">وظاهر يعرف بالتأمل</w:t>
      </w:r>
    </w:p>
    <w:p/>
    <w:p>
      <w:pPr/>
      <w:r>
        <w:rPr/>
        <w:t xml:space="preserve">وذكر ابن طولون أنه دخلت على الشيخ تقي الدين في يوم الجمعة مستهل ربيع الأول الأنور سنة خمس وثلاثين وتسعمئة شدة بوضع في الترسيم بأمر المفتش أن ألزم بمال الحرمين. قال والد شيخنا: اعتراه في آخر عمره نحول وذبول وسعال، ومع ذلك كان يشتغل الناس عليه حتى غلبه المرض، وتوفي ليلة الأربعاء ثالث عشر ربيع الأول سنة خمس وأربعين وتسعمئة عن خمس وستين سنة، وحضر جنازته. والصلاة عليه بالأموي جم غفير من أهل العلم وغيرهم، منهم الشيخ شمس الدين حامد الغزي، وتقدم للصلاة عليه خطيب دمشق الشيخ جلال الدين البصروي، ودفن بمقبرة باب الصغير عن يمين الطريق السالك من الغرب إلى الشرق بالقرب من جامع جراح، وولي تدريس الشامية بعده شيخ الإسلام الوالد، وإمامة المقصورة شيخ الإسلام شهاب الدين الطيبي أحد تلاميذه.</w:t>
      </w:r>
    </w:p>
    <w:p>
      <w:pPr>
        <w:jc w:val="start"/>
        <w:bidi/>
      </w:pPr>
      <w:r>
        <w:rPr>
          <w:sz w:val="24"/>
          <w:szCs w:val="24"/>
          <w:b w:val="1"/>
          <w:bCs w:val="1"/>
          <w:rtl/>
        </w:rPr>
        <w:t xml:space="preserve">
الكواكب السائرة بأعيان المئة العاشرة،(دار الكتب العلمية - بيروت،1977،ط 1،ج 2،ص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2026-07-29T11:54:55+03:00</dcterms:created>
  <dcterms:modified xsi:type="dcterms:W3CDTF">2026-07-29T11:54:55+03:00</dcterms:modified>
</cp:coreProperties>
</file>

<file path=docProps/custom.xml><?xml version="1.0" encoding="utf-8"?>
<Properties xmlns="http://schemas.openxmlformats.org/officeDocument/2006/custom-properties" xmlns:vt="http://schemas.openxmlformats.org/officeDocument/2006/docPropsVTypes"/>
</file>