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سوار العاتكي
</w:t>
      </w:r>
    </w:p>
    <w:p>
      <w:pPr>
        <w:jc w:val="start"/>
        <w:bidi/>
      </w:pPr>
      <w:r>
        <w:rPr>
          <w:rFonts w:ascii="arial" w:hAnsi="arial" w:eastAsia="arial" w:cs="arial"/>
          <w:sz w:val="28"/>
          <w:szCs w:val="28"/>
          <w:b w:val="1"/>
          <w:bCs w:val="1"/>
          <w:rtl/>
        </w:rPr>
        <w:t xml:space="preserve">محمد بن عمر بن سوار العاتكي
</w:t>
      </w:r>
    </w:p>
    <w:p>
      <w:pPr/>
      <w:r>
        <w:rPr/>
        <w:t xml:space="preserve">محمد بن عمر بن سوار العاتكي محمد بن عمر بن سوار الدمشقي العاتكي، الشافعي العبد الصالح الورع، والد الشيخ عبد القادر بن سوار شيخ المحيا، بدمشق أخذ الطريق عن الشيخ عبد الهادي الصفوري، وكان من جماعته، وكان صواما قواما ينسج القطن، ويأكل من كسب يمينه، وما فضل من كسبه تصدق به وتعاهد الأرامل واليتامى، وأخبرت عنه أنه كان إذا انقطع معه طاق وفركه، ووصله علم عليه بتراب ونحوه فيقال له: لم تفعل ذلك. فيقول: حتى يعلم المشتري أنه طاق موصول، فلا ينغش. وأخبرني بعض جماعته قال: ربما سقى الشاش العشرة أذرع بكرة النهار ونسجه يفرغ من نسجه وقت الغداء، من ذلك اليوم فيمد له في الزمان، وحدثني ولده الشيخ عبد القادر أنه مر يوما على صورة جميلة فنظر إليها ووقعت من قلبه، وكان يميل إلى النظر، فلما دخل عليه والده كاشفه بذلك وعاتبه على النظر، ووعظه فزال من قلبه في الحال، ورجع عن النظر ببركة والده، وأخبرني أن والده توفي في سنة أربع وستين وتسعمئة عن نحو سبعين سنة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2026-07-28T06:45:33+03:00</dcterms:created>
  <dcterms:modified xsi:type="dcterms:W3CDTF">2026-07-28T06:45:33+03:00</dcterms:modified>
</cp:coreProperties>
</file>

<file path=docProps/custom.xml><?xml version="1.0" encoding="utf-8"?>
<Properties xmlns="http://schemas.openxmlformats.org/officeDocument/2006/custom-properties" xmlns:vt="http://schemas.openxmlformats.org/officeDocument/2006/docPropsVTypes"/>
</file>