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محمد بن الشحنة
</w:t>
      </w:r>
    </w:p>
    <w:p>
      <w:pPr>
        <w:jc w:val="start"/>
        <w:bidi/>
      </w:pPr>
      <w:r>
        <w:rPr>
          <w:rFonts w:ascii="arial" w:hAnsi="arial" w:eastAsia="arial" w:cs="arial"/>
          <w:sz w:val="28"/>
          <w:szCs w:val="28"/>
          <w:b w:val="1"/>
          <w:bCs w:val="1"/>
          <w:rtl/>
        </w:rPr>
        <w:t xml:space="preserve">حسن بن محمد بن الشحنة
</w:t>
      </w:r>
    </w:p>
    <w:p>
      <w:pPr/>
      <w:r>
        <w:rPr/>
        <w:t xml:space="preserve">حسن بن محمد بن الشحنة حسن بن محمد بن الشحنة: حسن بن محمد بن محمد قاضي القضاة ابن قاضي القضاة أبو الطيب عفيف الدين، وقال الحمصي وابن طولون بدر الدين بن أبي اليمن أثير الدين بن أبي الفضل محب الدين بن الشحنة. قال ابن طولون الحنفي، وقال ابن الحنبلي في تاريخه الشافعي: ولد في سنة ثمان وخسمين وثمانمئة، وحصل بالقاهرة طرفا من العلم، وأخذ البخاري عن الشيخ شهاب الدين أحمد بن عبد القادر بن محمد بن طريف الشاوي - بالمعجمة - المصري، الحنفي الصوفي، وهو خاتمة من يروي عن ابن أبي المجد، الخطيب الدمشقي، وقرأ شرح ’’جمع الجوامع’’ بحلب على العلامة المنلا علي، الشهير بعلي درويش الخوارزمي قراءة تحقيق، وتدقيق، وولي قضاء حلب، وكتابة السر بها، وتوفي في يوم الثلاثاء حادي عشر شوال سنة عشر وتسعمئة. قال ابن طولون: مطعونا بالقاهرة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2026-07-29T05:17:32+03:00</dcterms:created>
  <dcterms:modified xsi:type="dcterms:W3CDTF">2026-07-29T05:17:32+03:00</dcterms:modified>
</cp:coreProperties>
</file>

<file path=docProps/custom.xml><?xml version="1.0" encoding="utf-8"?>
<Properties xmlns="http://schemas.openxmlformats.org/officeDocument/2006/custom-properties" xmlns:vt="http://schemas.openxmlformats.org/officeDocument/2006/docPropsVTypes"/>
</file>