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الجرحي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الجرحي
</w:t>
      </w:r>
    </w:p>
    <w:p>
      <w:pPr/>
      <w:r>
        <w:rPr/>
        <w:t xml:space="preserve">محمد بن الجرحي محمد بن الجرحي: محمد بن محمد الشيخ شمس الدين الشهير بابن الجرحي الحلبي قال ابن الحنبلي: كان أولا أحد عدول حلب بالمكتب الكائن على باب الأسدية الجوانية ثم صار إمام السلطانية في الدولة العثمانية، وتوفي في سنة ثمان وعشرين أو بعدها.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الكواكب السائرة بأعيان المئة العاشرة،(دار الكتب العلمية - بيروت،1977،ط 1،ج 1،ص 21)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2026-07-29T11:02:17+03:00</dcterms:created>
  <dcterms:modified xsi:type="dcterms:W3CDTF">2026-07-29T11:02:17+03:00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