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محمد بن أحمد بن أحمد بن محمد بن أبي موسى الهاشمي
</w:t>
      </w:r>
    </w:p>
    <w:p>
      <w:pPr>
        <w:jc w:val="start"/>
        <w:bidi/>
      </w:pPr>
      <w:r>
        <w:rPr>
          <w:rFonts w:ascii="arial" w:hAnsi="arial" w:eastAsia="arial" w:cs="arial"/>
          <w:sz w:val="28"/>
          <w:szCs w:val="28"/>
          <w:b w:val="1"/>
          <w:bCs w:val="1"/>
          <w:rtl/>
        </w:rPr>
        <w:t xml:space="preserve">أبو علي محمد بن أحمد بن أحمد بن محمد بن أبي موسى الهاشمي
</w:t>
      </w:r>
    </w:p>
    <w:p>
      <w:pPr/>
      <w:r>
        <w:rPr/>
        <w:t xml:space="preserve">أبو علي محمد بن أحمد بن أحمد بن محمد بن أبي موسى الهاشمي وكان حسن الفتيا معظما لأهل العلم حضرت حلقته وانتفعت به كثيرا وكان أخص الهاشميين بالقادر بالله. مات سنة ثمان وعشرين وأربعمائة، وله مصنف مليح.</w:t>
      </w:r>
    </w:p>
    <w:p>
      <w:pPr>
        <w:jc w:val="start"/>
        <w:bidi/>
      </w:pPr>
      <w:r>
        <w:rPr>
          <w:sz w:val="24"/>
          <w:szCs w:val="24"/>
          <w:b w:val="1"/>
          <w:bCs w:val="1"/>
          <w:rtl/>
        </w:rPr>
        <w:t xml:space="preserve">
طبقات الفقهاء / للشيرازي،(دار الرائد العربي - بيروت،1970،ط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2026-07-28T09:21:35+03:00</dcterms:created>
  <dcterms:modified xsi:type="dcterms:W3CDTF">2026-07-28T09:21:35+03:00</dcterms:modified>
</cp:coreProperties>
</file>

<file path=docProps/custom.xml><?xml version="1.0" encoding="utf-8"?>
<Properties xmlns="http://schemas.openxmlformats.org/officeDocument/2006/custom-properties" xmlns:vt="http://schemas.openxmlformats.org/officeDocument/2006/docPropsVTypes"/>
</file>