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الجراح
</w:t>
      </w:r>
    </w:p>
    <w:p>
      <w:pPr/>
      <w:r>
        <w:rPr/>
        <w:t xml:space="preserve">إبراهيم بن الجراح أخذ عن أبي يوسف وولي قضاء مصر، وهو لين الرواية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الجراح
</w:t>
      </w:r>
    </w:p>
    <w:p>
      <w:pPr/>
      <w:r>
        <w:rPr/>
        <w:t xml:space="preserve">إبراهيم بن الجراح </w:t>
      </w:r>
    </w:p>
    <w:p/>
    <w:p>
      <w:pPr/>
      <w:r>
        <w:rPr/>
        <w:t xml:space="preserve">من أصحاب الرأي سكن مصر</w:t>
      </w:r>
    </w:p>
    <w:p/>
    <w:p>
      <w:pPr/>
      <w:r>
        <w:rPr/>
        <w:t xml:space="preserve">يروي عن أبي يوسف وغيره وأهل العراق روى عنه أحمد بن عبد الله الكندي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2026-07-29T02:16:44+03:00</dcterms:created>
  <dcterms:modified xsi:type="dcterms:W3CDTF">2026-07-29T02:16:44+03:00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