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الحسن الطبري المعروف بالقزويني
</w:t>
      </w:r>
    </w:p>
    <w:p>
      <w:pPr>
        <w:jc w:val="start"/>
        <w:bidi/>
      </w:pPr>
      <w:r>
        <w:rPr>
          <w:rFonts w:ascii="arial" w:hAnsi="arial" w:eastAsia="arial" w:cs="arial"/>
          <w:sz w:val="28"/>
          <w:szCs w:val="28"/>
          <w:b w:val="1"/>
          <w:bCs w:val="1"/>
          <w:rtl/>
        </w:rPr>
        <w:t xml:space="preserve">محمود بن الحسن الطبري المعروف بالقزويني
</w:t>
      </w:r>
    </w:p>
    <w:p>
      <w:pPr/>
      <w:r>
        <w:rPr/>
        <w:t xml:space="preserve">محمود بن الحسن الطبري المعروف بالقزويني تفقه بآمل على شيوخ البلد، ثم قدم بغداد وحضر مجلس الشيخ أبي حامد الإسفرايني، ودرس الفرائض على أبي الحسين ابن اللبان وأصول الفقه على القاضي أبي بكر ابن الطيب الأشعري.</w:t>
      </w:r>
    </w:p>
    <w:p/>
    <w:p>
      <w:pPr/>
      <w:r>
        <w:rPr/>
        <w:t xml:space="preserve">وكان حافظا للمذهب والخلاف، صنف كتبا كثيرة في الخلاف والمذهب والأصول والجدل، ودرس ببغداد وآمر، ولم أنتفع بأحد في الرحلة كما انتفعت به وبالقاضي أبي الطيب الطبري. وتوفي بآمل.</w:t>
      </w:r>
    </w:p>
    <w:p>
      <w:pPr>
        <w:jc w:val="start"/>
        <w:bidi/>
      </w:pPr>
      <w:r>
        <w:rPr>
          <w:sz w:val="24"/>
          <w:szCs w:val="24"/>
          <w:b w:val="1"/>
          <w:bCs w:val="1"/>
          <w:rtl/>
        </w:rPr>
        <w:t xml:space="preserve">
طبقات الفقهاء / للشيرازي،(دار الرائد العربي - بيروت،1970،ط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2026-07-28T14:06:44+03:00</dcterms:created>
  <dcterms:modified xsi:type="dcterms:W3CDTF">2026-07-28T14:06:44+03:00</dcterms:modified>
</cp:coreProperties>
</file>

<file path=docProps/custom.xml><?xml version="1.0" encoding="utf-8"?>
<Properties xmlns="http://schemas.openxmlformats.org/officeDocument/2006/custom-properties" xmlns:vt="http://schemas.openxmlformats.org/officeDocument/2006/docPropsVTypes"/>
</file>