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القاسم الطبري
</w:t>
      </w:r>
    </w:p>
    <w:p>
      <w:pPr>
        <w:jc w:val="start"/>
        <w:bidi/>
      </w:pPr>
      <w:r>
        <w:rPr>
          <w:rFonts w:ascii="arial" w:hAnsi="arial" w:eastAsia="arial" w:cs="arial"/>
          <w:sz w:val="28"/>
          <w:szCs w:val="28"/>
          <w:b w:val="1"/>
          <w:bCs w:val="1"/>
          <w:rtl/>
        </w:rPr>
        <w:t xml:space="preserve">الحسن بن القاسم الطبري
</w:t>
      </w:r>
    </w:p>
    <w:p>
      <w:pPr/>
      <w:r>
        <w:rPr/>
        <w:t xml:space="preserve">الحسن بن القاسم الطبري مات في سنة خمسين وثلاثمائة. علق عن أبي علي ابن أبي هريرة وهي التعليقة التي تنسب إلى أبي علي، وهو من مصنفي أصحاب الشافعي، صنف المحرر في النظر، وهو أول كتاب صنف في الخلاف المجرد، وصنف الإفصاح في المذهب، وصنف أصول الفقه وصنف الجدل، ودرس ببغداد بعد أستاذه أبي علي بن أبي هريرة.</w:t>
      </w:r>
    </w:p>
    <w:p>
      <w:pPr>
        <w:jc w:val="start"/>
        <w:bidi/>
      </w:pPr>
      <w:r>
        <w:rPr>
          <w:sz w:val="24"/>
          <w:szCs w:val="24"/>
          <w:b w:val="1"/>
          <w:bCs w:val="1"/>
          <w:rtl/>
        </w:rPr>
        <w:t xml:space="preserve">
طبقات الفقهاء / للشيرازي،(دار الرائد العربي - بيروت،1970،ط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2026-07-27T21:40:54+03:00</dcterms:created>
  <dcterms:modified xsi:type="dcterms:W3CDTF">2026-07-27T21:40:54+03:00</dcterms:modified>
</cp:coreProperties>
</file>

<file path=docProps/custom.xml><?xml version="1.0" encoding="utf-8"?>
<Properties xmlns="http://schemas.openxmlformats.org/officeDocument/2006/custom-properties" xmlns:vt="http://schemas.openxmlformats.org/officeDocument/2006/docPropsVTypes"/>
</file>