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محمد الأبيوردي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محمد الأبيوردي
</w:t>
      </w:r>
    </w:p>
    <w:p>
      <w:pPr/>
      <w:r>
        <w:rPr/>
        <w:t xml:space="preserve">الحسن بن علي بن محمد الأبيوردي. حسام الدين، الشافعي، نزيل مكة، كان عالما بالمعقول، ثم دخل اليمن، ودرس ببعض المدارس، وأخذ عن ’’التفتازاني’’، وصنف ’’ربيع الجنان، في المعاني والبيان’’.</w:t>
      </w:r>
    </w:p>
    <w:p/>
    <w:p>
      <w:pPr/>
      <w:r>
        <w:rPr/>
        <w:t xml:space="preserve">توفي سنة 816.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2026-07-28T08:09:04+03:00</dcterms:created>
  <dcterms:modified xsi:type="dcterms:W3CDTF">2026-07-28T08:09:04+03:00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