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عامر بن فرقد القرشي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عامر بن فرقد القرشي الأندلسي
</w:t>
      </w:r>
    </w:p>
    <w:p>
      <w:pPr/>
      <w:r>
        <w:rPr/>
        <w:t xml:space="preserve">أحمد بن محمد بن عامر بن فرقد القرشي الأندلسي. سكن مصر، وشرح الفصول لابن معطي، وأخذ عن الشلوبين.</w:t>
      </w:r>
    </w:p>
    <w:p/>
    <w:p>
      <w:pPr/>
      <w:r>
        <w:rPr/>
        <w:t xml:space="preserve">قال أبو حيان: كان في خلقه حدة.</w:t>
      </w:r>
    </w:p>
    <w:p/>
    <w:p>
      <w:pPr/>
      <w:r>
        <w:rPr/>
        <w:t xml:space="preserve">أقام بمصر، ثم بالشام، ثم عاد إلى القاهرة وكان أمثل.</w:t>
      </w:r>
    </w:p>
    <w:p/>
    <w:p>
      <w:pPr/>
      <w:r>
        <w:rPr/>
        <w:t xml:space="preserve">في النحو من البهاء بم النحاس، وكان مقتر الرزق، ضيق الحال.</w:t>
      </w:r>
    </w:p>
    <w:p/>
    <w:p>
      <w:pPr/>
      <w:r>
        <w:rPr/>
        <w:t xml:space="preserve">توفي سنة 689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عامر بن فرقد القرشي الأندلسي
</w:t>
      </w:r>
    </w:p>
    <w:p>
      <w:pPr/>
      <w:r>
        <w:rPr/>
        <w:t xml:space="preserve">أحمد بن محمد بن عامر بن فرقد القرشي الأندلسي </w:t>
      </w:r>
    </w:p>
    <w:p/>
    <w:p>
      <w:pPr/>
      <w:r>
        <w:rPr/>
        <w:t xml:space="preserve">سكن مصر والقاهرة، وشرح ’’الفصول’’ لابن معطي وكان سيئ الخلق مات سنة 690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9)/(دار سعد الدين للطباعة والنشر والتوزيع،2000،ط 1،ج 1،ص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2026-07-29T02:24:27+03:00</dcterms:created>
  <dcterms:modified xsi:type="dcterms:W3CDTF">2026-07-29T02:24:27+03:00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