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قاسم الفهري التياني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قاسم الفهري التياني أبو جعفر
</w:t>
      </w:r>
    </w:p>
    <w:p>
      <w:pPr/>
      <w:r>
        <w:rPr/>
        <w:t xml:space="preserve">أحمد بن قاسم الفهري التياني أبو جعفر. ويعرف بابن بشرى، وبالتياني، قرأ على الأستاذ القاضي الخطيب أبي الحسن: علي بن محمد بن أبي العيش، وبه تأدب، وكان من أهل الطلب والأدب مع سعة الفضيلة، والتخلق بالأخلاق الحميدة.</w:t>
      </w:r>
    </w:p>
    <w:p/>
    <w:p>
      <w:pPr/>
      <w:r>
        <w:rPr/>
        <w:t xml:space="preserve">توفي من علة السل، وذلك في حدود سنة 707 أو 708، وكان ثالث ثلاثة إخوة هو أكبرهم وأكسبهم والمحتمل بشئونهم لأنه كان يتجر، ويقوم عليهم: يفرغهم للقراءة وماتوا من علة واحدة في زمن قريب: أولهم ’’محمد’’، ثم ’’قاسم’’، ثم ’’أحمد’’: أحضرت بين أيدي هؤلاء الإخوة أترجة فقال فيها أكبرهم - وهو أحمد:</w:t>
      </w:r>
    </w:p>
    <w:p/>
    <w:p>
      <w:pPr>
        <w:jc w:val="center"/>
      </w:pPr>
      <w:r>
        <w:rPr>
          <w:color w:val="ff0000"/>
        </w:rPr>
        <w:t xml:space="preserve">وأترجة طيب نشرها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كمثل شذا المسك بل أعطر</w:t>
      </w:r>
    </w:p>
    <w:p/>
    <w:p>
      <w:pPr/>
      <w:r>
        <w:rPr/>
        <w:t xml:space="preserve">وقال الأوسط:</w:t>
      </w:r>
    </w:p>
    <w:p/>
    <w:p>
      <w:pPr/>
      <w:r>
        <w:rPr/>
        <w:t xml:space="preserve">صفيراء تحسبها أيها=مذوب النضار غدت تمطر</w:t>
      </w:r>
    </w:p>
    <w:p/>
    <w:p>
      <w:pPr/>
      <w:r>
        <w:rPr/>
        <w:t xml:space="preserve">وقال الأصغر:</w:t>
      </w:r>
    </w:p>
    <w:p/>
    <w:p>
      <w:pPr>
        <w:jc w:val="center"/>
      </w:pPr>
      <w:r>
        <w:rPr>
          <w:color w:val="ff0000"/>
        </w:rPr>
        <w:t xml:space="preserve">وكان النضار عليها أذيب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وصرف اللجين بها مضمر؟!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2026-07-29T03:22:08+03:00</dcterms:created>
  <dcterms:modified xsi:type="dcterms:W3CDTF">2026-07-29T03:22:08+03:00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