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الصابوني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الصابوني
</w:t>
      </w:r>
    </w:p>
    <w:p>
      <w:pPr/>
      <w:r>
        <w:rPr/>
        <w:t xml:space="preserve">ابن الصابوني  هشام بن عبد الرحمن بن عبد الله، أبو الوليد، ابن الصابوني: فاضل، من أهل قرطبة. له كتاب في (شرح الجامع الصحيح) للبخاري، على حروف المعجم، قال ابن بشكوال: كثير الفائدة.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الصابوني القرطبي
</w:t>
      </w:r>
    </w:p>
    <w:p>
      <w:pPr/>
      <w:r>
        <w:rPr/>
        <w:t xml:space="preserve">ابن الصابوني القرطبي هشام بن عبد الرحمن بن عبد الله أبو الوليد ابن الصابوني القرطبي، له كتاب في ’’تفسير البخاري’’ على حروف المعجم كثير الفائدة، توفي سنة ثلاث وعشرين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2026-10-09T18:29:46+03:00</dcterms:created>
  <dcterms:modified xsi:type="dcterms:W3CDTF">2026-10-09T18:29:46+03:00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