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طحمة
</w:t>
      </w:r>
    </w:p>
    <w:p>
      <w:pPr>
        <w:jc w:val="start"/>
        <w:bidi/>
      </w:pPr>
      <w:r>
        <w:rPr>
          <w:rFonts w:ascii="arial" w:hAnsi="arial" w:eastAsia="arial" w:cs="arial"/>
          <w:sz w:val="28"/>
          <w:szCs w:val="28"/>
          <w:b w:val="1"/>
          <w:bCs w:val="1"/>
          <w:rtl/>
        </w:rPr>
        <w:t xml:space="preserve">ابن أبي طحمة
</w:t>
      </w:r>
    </w:p>
    <w:p>
      <w:pPr/>
      <w:r>
        <w:rPr/>
        <w:t xml:space="preserve">ابن أبي طحمة  هريم (تصغير هرم) بن عدي (أبي طحمة) بن حارثة بن الشريد بن مرة المجاشعي الدارمي التميمي: من فرسان تميم في العصر الاموي. نعته ابن حزم بفارس خراسان. وقال ابن قتيبة: حضر مع المهلب في قتال الازارقة. وذكره المبرد في معركة مع قطري ابن الفجاءة. ثم كان مع عدي بن أرطاة في قتال يزيد بن المهلب. وعاش بعد ذلك وكبر، واريد تحويل اسمه إلى (اعوان الديوان) ليعفى من الغزو، وكان أميا، فقيل له: انك لا تحسن ان تكتب، فقال: ان لا اكتب فإني امحو الصحف!. </w:t>
      </w:r>
    </w:p>
    <w:p>
      <w:pPr>
        <w:jc w:val="start"/>
        <w:bidi/>
      </w:pPr>
      <w:r>
        <w:rPr>
          <w:sz w:val="24"/>
          <w:szCs w:val="24"/>
          <w:b w:val="1"/>
          <w:bCs w:val="1"/>
          <w:rtl/>
        </w:rPr>
        <w:t xml:space="preserve">
الأعلام،(دار العلم للملايين - بيروت،2002،ط 15،ج 8،ص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2026-10-09T18:27:51+03:00</dcterms:created>
  <dcterms:modified xsi:type="dcterms:W3CDTF">2026-10-09T18:27:51+03:00</dcterms:modified>
</cp:coreProperties>
</file>

<file path=docProps/custom.xml><?xml version="1.0" encoding="utf-8"?>
<Properties xmlns="http://schemas.openxmlformats.org/officeDocument/2006/custom-properties" xmlns:vt="http://schemas.openxmlformats.org/officeDocument/2006/docPropsVTypes"/>
</file>