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هرم بن قطبة
</w:t>
      </w:r>
    </w:p>
    <w:p>
      <w:pPr>
        <w:jc w:val="start"/>
        <w:bidi/>
      </w:pPr>
      <w:r>
        <w:rPr>
          <w:rFonts w:ascii="arial" w:hAnsi="arial" w:eastAsia="arial" w:cs="arial"/>
          <w:sz w:val="28"/>
          <w:szCs w:val="28"/>
          <w:b w:val="1"/>
          <w:bCs w:val="1"/>
          <w:rtl/>
        </w:rPr>
        <w:t xml:space="preserve">هرم بن قطبة
</w:t>
      </w:r>
    </w:p>
    <w:p>
      <w:pPr/>
      <w:r>
        <w:rPr/>
        <w:t xml:space="preserve">هرم بن قطبة  هرم بن قطبة بن سيار (او سنان) الفزاري: من قضاة العرب في الجاهلية. اسلم في عهد النبي (ص) وثبت في الردة. وكان حيا في خلافة عمر. وله معه حديث. كان من (الخطباء البلغاء والحكام الرؤساء) كما يقول الجاحظ، وإذا حكم بين الخصمين او المتنافرين، سجع في كلامه. وممن تنافر اليه في الجاهلية عمرو بن الطفيل وعلقمة بن علاثة. وهو الذي قال له لبيد بن ربيعة:</w:t>
      </w:r>
    </w:p>
    <w:p/>
    <w:p>
      <w:pPr>
        <w:jc w:val="center"/>
      </w:pPr>
      <w:r>
        <w:rPr>
          <w:color w:val="ff0000"/>
        </w:rPr>
        <w:t xml:space="preserve">يا هرم ابن الاكرمين منصبا</w:t>
      </w:r>
      <w:r>
        <w:rPr>
          <w:color w:val="ff0000"/>
        </w:rPr>
        <w:t xml:space="preserve">      </w:t>
      </w:r>
      <w:r>
        <w:rPr>
          <w:color w:val="ff0000"/>
        </w:rPr>
        <w:t xml:space="preserve">انك قد اوتيت حكما معجبا</w:t>
      </w:r>
    </w:p>
    <w:p/>
    <w:p>
      <w:pPr/>
      <w:r>
        <w:rPr/>
        <w:t xml:space="preserve">#فطبق المفصل واغنم طيباولما ارتد (عيينة بن حصن) نهاه هرم، وكان فيما قال له: (اذكر عروقب البغي يوم الهباءة، ولجاج الرهان يوم قيس، وهزيمتك يوم الاحزاب) ولم يقبل منه عيينة، ففارقه وقال فيه شعرا. </w:t>
      </w:r>
    </w:p>
    <w:p>
      <w:pPr>
        <w:jc w:val="start"/>
        <w:bidi/>
      </w:pPr>
      <w:r>
        <w:rPr>
          <w:sz w:val="24"/>
          <w:szCs w:val="24"/>
          <w:b w:val="1"/>
          <w:bCs w:val="1"/>
          <w:rtl/>
        </w:rPr>
        <w:t xml:space="preserve">
الأعلام،(دار العلم للملايين - بيروت،2002،ط 15،ج 8،ص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قطبة
</w:t>
      </w:r>
    </w:p>
    <w:p>
      <w:pPr/>
      <w:r>
        <w:rPr/>
        <w:t xml:space="preserve">هرم بن قطبة هرم بن قطبة الفزاري.</w:t>
      </w:r>
    </w:p>
    <w:p/>
    <w:p>
      <w:pPr/>
      <w:r>
        <w:rPr/>
        <w:t xml:space="preserve">هو الذي دعا عيينة بن حصن إلى الثبات على الإسلام وقت الردة، قاله وثيمة عن ابن إسحاق.</w:t>
      </w:r>
    </w:p>
    <w:p/>
    <w:p>
      <w:pPr/>
      <w:r>
        <w:rPr/>
        <w:t xml:space="preserve">ذكره ابن الدباغ. </w:t>
      </w:r>
    </w:p>
    <w:p>
      <w:pPr>
        <w:jc w:val="start"/>
        <w:bidi/>
      </w:pPr>
      <w:r>
        <w:rPr>
          <w:sz w:val="24"/>
          <w:szCs w:val="24"/>
          <w:b w:val="1"/>
          <w:bCs w:val="1"/>
          <w:rtl/>
        </w:rPr>
        <w:t xml:space="preserve">
أسد الغابة في معرفة الصحابة،(دار ابن حزم - بيروت،2012،ط 1،ج 1،ص 1219)/(دار الكتب العلمية - بيروت،1994،ط 1،ج 5،ص 366)/(دار الفكر - بيروت،1989،ط 1،ج 4،ص 616)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قطبة
</w:t>
      </w:r>
    </w:p>
    <w:p>
      <w:pPr/>
      <w:r>
        <w:rPr/>
        <w:t xml:space="preserve">هرم بن قطبة بن سنان الفزاري.</w:t>
      </w:r>
    </w:p>
    <w:p/>
    <w:p>
      <w:pPr/>
      <w:r>
        <w:rPr/>
        <w:t xml:space="preserve">أدرك الجاهلية وأسلم في عهد النبي صلى الله عليه وآله وسلم، وثبت في الردة، وذكر وثيمة أنه دعا عيينة بن حصن إلى الثبات على الإسلام، وقال له: اذكر عواقب البغي يوم</w:t>
      </w:r>
    </w:p>
    <w:p/>
    <w:p>
      <w:pPr/>
      <w:r>
        <w:rPr/>
        <w:t xml:space="preserve">الهباءة، ولجاج الرهان يوم قيس، وهزيمتك يوم الأحزاب في موعظة طويلة، فلم يقبل منه، ففارقه، وقال فيه شعرا. وكان هرم بن قطبة يقضي بين العرب في الجاهلية، وقد تنافر إليه عامر بن الطفيل وعلقمة بن علاثة، فاستخفى منهما. ذكر ذلك أبو عبيدة في كتاب الديباج، وقال: أسلم هرم بن قطبة، وقال عمر في خلافته: لمن كنت حاكما بينهما لو حكمت؟ فقال: أعفني، فو الله لو أظهرت هذا لعادت الحكومة جذعة، فقال: صدقت والله، وبهذا العقل أحكمت.</w:t>
      </w:r>
    </w:p>
    <w:p/>
    <w:p>
      <w:pPr/>
      <w:r>
        <w:rPr/>
        <w:t xml:space="preserve">وروى هذه القصة أبو الحسين الرازي والد تمام في فوائده، من طريق الشافعي، قال: حدثني غير واحد... فذكرها.</w:t>
      </w:r>
    </w:p>
    <w:p/>
    <w:p>
      <w:pPr/>
      <w:r>
        <w:rPr/>
        <w:t xml:space="preserve">وقال الجاحظ في كتاب «البيان»: أول ما رآه عمر أراد أن يكشفه يستثير ما عنده، لأنه كان دميم الخلقة ملتفا في بت في ناحية البيت، فلما أجابه بهذا الحديث أعجب به، وأورد قصة المنافرة مطولة ابن دريد في أماليه من طريق ابن الكلبي، عن أبيه، عن أبي مسكين، عن أشياخهم.</w:t>
      </w:r>
    </w:p>
    <w:p>
      <w:pPr>
        <w:jc w:val="start"/>
        <w:bidi/>
      </w:pPr>
      <w:r>
        <w:rPr>
          <w:sz w:val="24"/>
          <w:szCs w:val="24"/>
          <w:b w:val="1"/>
          <w:bCs w:val="1"/>
          <w:rtl/>
        </w:rPr>
        <w:t xml:space="preserve">
الإصابة في تمييز الصحابة،(دار الكتب العلمية - بيروت،1995،ط 1،ج 6،ص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هرم بن قطبة الفزاري، دعا عينية بن حصين إلى الثبات على الإسلام يوم الردة، قاله وثيمة عن ابن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2026-07-29T03:20:43+03:00</dcterms:created>
  <dcterms:modified xsi:type="dcterms:W3CDTF">2026-07-29T03:20:43+03:00</dcterms:modified>
</cp:coreProperties>
</file>

<file path=docProps/custom.xml><?xml version="1.0" encoding="utf-8"?>
<Properties xmlns="http://schemas.openxmlformats.org/officeDocument/2006/custom-properties" xmlns:vt="http://schemas.openxmlformats.org/officeDocument/2006/docPropsVTypes"/>
</file>