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الهذلول
</w:t>
      </w:r>
    </w:p>
    <w:p>
      <w:pPr/>
      <w:r>
        <w:rPr/>
        <w:t xml:space="preserve">الهذلول  الهذلول بن كعب العنبري: شاعر، من اعيان الاعراب. يظن انه جاهلي. قال التبريزي: كان مملكا، نزل به ضيف، فقام إلى الرحا يطحن، فرأته زوجته فاستعظمت فعله، فقال قصيدة، منها:</w:t>
      </w:r>
    </w:p>
    <w:p/>
    <w:p>
      <w:pPr>
        <w:jc w:val="center"/>
      </w:pPr>
      <w:r>
        <w:rPr>
          <w:color w:val="ff0000"/>
        </w:rPr>
        <w:t xml:space="preserve">لعمر ابيك الخير، اني لخادم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لضيفي، واني ان ركبت لفارس</w:t>
      </w:r>
    </w:p>
    <w:p/>
    <w:p>
      <w:pPr/>
      <w:r>
        <w:rPr/>
        <w:t xml:space="preserve">والقصيدة في (ديوان الحماسة) وفي القاموس: الهذلول، بالضم، الرجل الخفيف.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2026-10-09T17:32:40+03:00</dcterms:created>
  <dcterms:modified xsi:type="dcterms:W3CDTF">2026-10-09T17:32:40+03:00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